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BA165" w14:textId="77777777" w:rsidR="00BB34CB" w:rsidRDefault="00F97DC8">
      <w:pPr>
        <w:pStyle w:val="Style7"/>
        <w:keepNext/>
        <w:keepLines/>
        <w:shd w:val="clear" w:color="auto" w:fill="auto"/>
        <w:spacing w:before="100" w:after="260"/>
      </w:pPr>
      <w:bookmarkStart w:id="0" w:name="bookmark2"/>
      <w:r>
        <w:t>Smlouva o převzetí, přepravě a nakládání s odpady</w:t>
      </w:r>
      <w:bookmarkEnd w:id="0"/>
    </w:p>
    <w:p w14:paraId="119B8C6A" w14:textId="77777777" w:rsidR="00BB34CB" w:rsidRDefault="00F97DC8">
      <w:pPr>
        <w:pStyle w:val="Style7"/>
        <w:keepNext/>
        <w:keepLines/>
        <w:shd w:val="clear" w:color="auto" w:fill="auto"/>
        <w:spacing w:before="0" w:after="260"/>
      </w:pPr>
      <w:bookmarkStart w:id="1" w:name="bookmark0"/>
      <w:bookmarkStart w:id="2" w:name="bookmark1"/>
      <w:bookmarkStart w:id="3" w:name="bookmark3"/>
      <w:r>
        <w:t>č. S215049900</w:t>
      </w:r>
      <w:bookmarkEnd w:id="1"/>
      <w:bookmarkEnd w:id="2"/>
      <w:bookmarkEnd w:id="3"/>
    </w:p>
    <w:p w14:paraId="1766877E" w14:textId="77777777" w:rsidR="00BB34CB" w:rsidRDefault="00F97DC8">
      <w:pPr>
        <w:pStyle w:val="Style12"/>
        <w:shd w:val="clear" w:color="auto" w:fill="auto"/>
        <w:spacing w:after="200" w:line="324" w:lineRule="auto"/>
        <w:jc w:val="both"/>
      </w:pPr>
      <w:r>
        <w:t xml:space="preserve">Uzavřená v souladu s ustanoveními § 2586 a násl. zákona č. 89/2012 Sb., občanský zákoník, ve znění pozdějších předpisů (dále jen </w:t>
      </w:r>
      <w:r>
        <w:rPr>
          <w:b/>
          <w:bCs/>
          <w:sz w:val="18"/>
          <w:szCs w:val="18"/>
        </w:rPr>
        <w:t xml:space="preserve">„občanský zákoník“). </w:t>
      </w:r>
      <w:r>
        <w:t>Části týkající se přepravy odpadu na relevantní místo určení, které nejsou upraveny touto smlouvou, se řídí ustanoveními § 2555 a násl. občanského zákoníku.</w:t>
      </w:r>
    </w:p>
    <w:p w14:paraId="53689D1A" w14:textId="77777777" w:rsidR="00BB34CB" w:rsidRDefault="00F97DC8">
      <w:pPr>
        <w:pStyle w:val="Style12"/>
        <w:shd w:val="clear" w:color="auto" w:fill="auto"/>
        <w:spacing w:after="200" w:line="341" w:lineRule="auto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 Smluvní strany</w:t>
      </w:r>
    </w:p>
    <w:p w14:paraId="6F5FCE5A" w14:textId="77777777" w:rsidR="00BB34CB" w:rsidRDefault="00F97DC8">
      <w:pPr>
        <w:pStyle w:val="Style15"/>
        <w:shd w:val="clear" w:color="auto" w:fill="auto"/>
        <w:spacing w:line="341" w:lineRule="auto"/>
        <w:ind w:left="86"/>
        <w:rPr>
          <w:sz w:val="18"/>
          <w:szCs w:val="18"/>
        </w:rPr>
      </w:pPr>
      <w:r>
        <w:rPr>
          <w:b/>
          <w:bCs/>
          <w:sz w:val="18"/>
          <w:szCs w:val="18"/>
        </w:rPr>
        <w:t>1.1 Objednatel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1"/>
        <w:gridCol w:w="6096"/>
      </w:tblGrid>
      <w:tr w:rsidR="00BB34CB" w14:paraId="23E6C014" w14:textId="77777777">
        <w:trPr>
          <w:trHeight w:hRule="exact" w:val="92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C3FB7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A53469" w14:textId="77777777" w:rsidR="00BB34CB" w:rsidRDefault="00F97DC8">
            <w:pPr>
              <w:pStyle w:val="Style18"/>
              <w:shd w:val="clear" w:color="auto" w:fill="auto"/>
              <w:spacing w:after="24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NÁRODNÍ MUZEUM,</w:t>
            </w:r>
          </w:p>
          <w:p w14:paraId="62D86D52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příspěvková organizace Ministerstva kultury</w:t>
            </w:r>
          </w:p>
        </w:tc>
      </w:tr>
      <w:tr w:rsidR="00BB34CB" w14:paraId="69761C12" w14:textId="77777777">
        <w:trPr>
          <w:trHeight w:hRule="exact" w:val="46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37836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Sídlo: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78B42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Václavské náměstí 68, 115 79 Praha 1</w:t>
            </w:r>
          </w:p>
        </w:tc>
      </w:tr>
      <w:tr w:rsidR="00BB34CB" w14:paraId="0FFDCB14" w14:textId="77777777">
        <w:trPr>
          <w:trHeight w:hRule="exact" w:val="70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FC81C" w14:textId="77777777" w:rsidR="00BB34CB" w:rsidRDefault="00F97DC8">
            <w:pPr>
              <w:pStyle w:val="Style18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Osoba oprávněná k jednání: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CD7C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Ing. Rudolf Pohl, provozní náměstek</w:t>
            </w:r>
          </w:p>
        </w:tc>
      </w:tr>
      <w:tr w:rsidR="00BB34CB" w14:paraId="13F1C529" w14:textId="77777777">
        <w:trPr>
          <w:trHeight w:hRule="exact" w:val="46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46814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F9886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00023272</w:t>
            </w:r>
          </w:p>
        </w:tc>
      </w:tr>
      <w:tr w:rsidR="00BB34CB" w14:paraId="6D7D12F8" w14:textId="77777777">
        <w:trPr>
          <w:trHeight w:hRule="exact" w:val="466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57A28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CC1636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CZ00023272</w:t>
            </w:r>
          </w:p>
        </w:tc>
      </w:tr>
      <w:tr w:rsidR="00BB34CB" w14:paraId="096CD113" w14:textId="77777777">
        <w:trPr>
          <w:trHeight w:hRule="exact" w:val="461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DAFDF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Bankovní spojení: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100EA" w14:textId="28ADEFAB" w:rsidR="00BB34CB" w:rsidRDefault="00E17EDF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</w:t>
            </w:r>
          </w:p>
        </w:tc>
      </w:tr>
      <w:tr w:rsidR="00BB34CB" w14:paraId="6B169416" w14:textId="77777777">
        <w:trPr>
          <w:trHeight w:hRule="exact" w:val="461"/>
          <w:jc w:val="center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D84FE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účtu: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3DBDD" w14:textId="2E3A4FCE" w:rsidR="00BB34CB" w:rsidRDefault="00E17EDF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XXXXXXXXXXXXXXX</w:t>
            </w:r>
          </w:p>
        </w:tc>
      </w:tr>
      <w:tr w:rsidR="00BB34CB" w14:paraId="02BCD42A" w14:textId="77777777">
        <w:trPr>
          <w:trHeight w:hRule="exact" w:val="480"/>
          <w:jc w:val="center"/>
        </w:trPr>
        <w:tc>
          <w:tcPr>
            <w:tcW w:w="9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BF1EC" w14:textId="77777777" w:rsidR="00BB34CB" w:rsidRDefault="00BB34CB">
            <w:pPr>
              <w:rPr>
                <w:sz w:val="10"/>
                <w:szCs w:val="10"/>
              </w:rPr>
            </w:pPr>
          </w:p>
        </w:tc>
      </w:tr>
    </w:tbl>
    <w:p w14:paraId="2123F22D" w14:textId="77777777" w:rsidR="00BB34CB" w:rsidRDefault="00BB34CB">
      <w:pPr>
        <w:spacing w:after="479" w:line="1" w:lineRule="exact"/>
      </w:pPr>
    </w:p>
    <w:p w14:paraId="7B0E748C" w14:textId="77777777" w:rsidR="00BB34CB" w:rsidRDefault="00BB34CB">
      <w:pPr>
        <w:spacing w:line="1" w:lineRule="exact"/>
      </w:pPr>
    </w:p>
    <w:p w14:paraId="749A2BA6" w14:textId="77777777" w:rsidR="00BB34CB" w:rsidRDefault="00F97DC8">
      <w:pPr>
        <w:pStyle w:val="Style15"/>
        <w:shd w:val="clear" w:color="auto" w:fill="auto"/>
        <w:spacing w:line="240" w:lineRule="auto"/>
        <w:ind w:left="101"/>
        <w:rPr>
          <w:sz w:val="18"/>
          <w:szCs w:val="18"/>
        </w:rPr>
      </w:pPr>
      <w:r>
        <w:rPr>
          <w:b/>
          <w:bCs/>
          <w:sz w:val="18"/>
          <w:szCs w:val="18"/>
        </w:rPr>
        <w:t>1.2 Zhotovitel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0"/>
        <w:gridCol w:w="6086"/>
      </w:tblGrid>
      <w:tr w:rsidR="00BB34CB" w14:paraId="780242BC" w14:textId="77777777">
        <w:trPr>
          <w:trHeight w:hRule="exact" w:val="47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964D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Název: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E1E04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FCC Česká republika, s.r.o.</w:t>
            </w:r>
          </w:p>
        </w:tc>
      </w:tr>
      <w:tr w:rsidR="00BB34CB" w14:paraId="401524E7" w14:textId="77777777">
        <w:trPr>
          <w:trHeight w:hRule="exact" w:val="461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C72AD9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Sídlo: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C386BF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Ďáblická 791/89, 182 00 Praha 8</w:t>
            </w:r>
          </w:p>
        </w:tc>
      </w:tr>
      <w:tr w:rsidR="00BB34CB" w14:paraId="1B27969D" w14:textId="77777777">
        <w:trPr>
          <w:trHeight w:hRule="exact" w:val="912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591C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Společnost zastupuje: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2558CD" w14:textId="77777777" w:rsidR="00BB34CB" w:rsidRDefault="00F97DC8">
            <w:pPr>
              <w:pStyle w:val="Style18"/>
              <w:shd w:val="clear" w:color="auto" w:fill="auto"/>
              <w:spacing w:after="22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Ing. Petr Morávek, jednatel</w:t>
            </w:r>
          </w:p>
          <w:p w14:paraId="43CC9973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Ing. Václav Nikl, jednatel</w:t>
            </w:r>
          </w:p>
        </w:tc>
      </w:tr>
      <w:tr w:rsidR="00BB34CB" w14:paraId="72E15A8B" w14:textId="77777777">
        <w:trPr>
          <w:trHeight w:hRule="exact" w:val="46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9C399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IČ: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61B81F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458 09 712</w:t>
            </w:r>
          </w:p>
        </w:tc>
      </w:tr>
      <w:tr w:rsidR="00BB34CB" w14:paraId="3AC4A870" w14:textId="77777777">
        <w:trPr>
          <w:trHeight w:hRule="exact" w:val="461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B8C2B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DIČ: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D2942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CZ45809712</w:t>
            </w:r>
          </w:p>
        </w:tc>
      </w:tr>
      <w:tr w:rsidR="00BB34CB" w14:paraId="10D630E5" w14:textId="77777777">
        <w:trPr>
          <w:trHeight w:hRule="exact" w:val="46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E93E6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Bankovní spojení: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CB5C6" w14:textId="0C1CBEB9" w:rsidR="00BB34CB" w:rsidRDefault="00E17EDF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</w:t>
            </w:r>
          </w:p>
        </w:tc>
      </w:tr>
      <w:tr w:rsidR="00BB34CB" w14:paraId="5EFA0A3D" w14:textId="77777777">
        <w:trPr>
          <w:trHeight w:hRule="exact" w:val="461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E6B0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Číslo účtu: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BC67A" w14:textId="7B6A6672" w:rsidR="00BB34CB" w:rsidRDefault="00E17EDF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XXXXXXXXXXXX</w:t>
            </w:r>
          </w:p>
        </w:tc>
      </w:tr>
      <w:tr w:rsidR="00BB34CB" w14:paraId="46EDD462" w14:textId="77777777">
        <w:trPr>
          <w:trHeight w:hRule="exact" w:val="73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67B0C9" w14:textId="53F90C25" w:rsidR="00BB34CB" w:rsidRDefault="00BB34CB">
            <w:pPr>
              <w:pStyle w:val="Style18"/>
              <w:shd w:val="clear" w:color="auto" w:fill="auto"/>
              <w:spacing w:after="0"/>
              <w:rPr>
                <w:sz w:val="19"/>
                <w:szCs w:val="19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5D4B4" w14:textId="4460E334" w:rsidR="00BB34CB" w:rsidRDefault="00906FED">
            <w:pPr>
              <w:pStyle w:val="Style18"/>
              <w:shd w:val="clear" w:color="auto" w:fill="auto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Společnost je zapsána v </w:t>
            </w:r>
            <w:r w:rsidR="002D5A20">
              <w:rPr>
                <w:sz w:val="19"/>
                <w:szCs w:val="19"/>
              </w:rPr>
              <w:t>Obc</w:t>
            </w:r>
            <w:r w:rsidR="00F97DC8">
              <w:rPr>
                <w:sz w:val="19"/>
                <w:szCs w:val="19"/>
              </w:rPr>
              <w:t>hodním rejstříku vedeném Městským soudem v Praze, oddíl</w:t>
            </w:r>
            <w:r>
              <w:rPr>
                <w:sz w:val="19"/>
                <w:szCs w:val="19"/>
              </w:rPr>
              <w:t xml:space="preserve"> vložka 12401</w:t>
            </w:r>
          </w:p>
        </w:tc>
      </w:tr>
    </w:tbl>
    <w:p w14:paraId="2CF98905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91"/>
        </w:tabs>
        <w:jc w:val="both"/>
      </w:pPr>
      <w:bookmarkStart w:id="4" w:name="bookmark4"/>
      <w:bookmarkStart w:id="5" w:name="bookmark5"/>
      <w:bookmarkStart w:id="6" w:name="bookmark6"/>
      <w:r>
        <w:lastRenderedPageBreak/>
        <w:t>Všeobecná ustanovení</w:t>
      </w:r>
      <w:bookmarkEnd w:id="4"/>
      <w:bookmarkEnd w:id="5"/>
      <w:bookmarkEnd w:id="6"/>
    </w:p>
    <w:p w14:paraId="7C0A6159" w14:textId="002CFD22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42"/>
        </w:tabs>
        <w:jc w:val="both"/>
      </w:pPr>
      <w:r>
        <w:t>V souladu s předměty podnikání zapsanými v obchodním rejstříku je zhoto</w:t>
      </w:r>
      <w:r w:rsidR="004E40AA">
        <w:t>vitel</w:t>
      </w:r>
      <w:r>
        <w:t xml:space="preserve"> oprávněn podnikat v oboru nakládání s odpadem, nakládání s</w:t>
      </w:r>
      <w:r w:rsidR="004E40AA">
        <w:t> </w:t>
      </w:r>
      <w:r>
        <w:t>nebezpeč</w:t>
      </w:r>
      <w:r w:rsidR="004E40AA">
        <w:t>ným</w:t>
      </w:r>
      <w:r>
        <w:t xml:space="preserve"> odpadem a v oboru silniční dopravy.</w:t>
      </w:r>
    </w:p>
    <w:p w14:paraId="3545A00C" w14:textId="156049BF" w:rsidR="00BB34CB" w:rsidRDefault="00F97DC8">
      <w:pPr>
        <w:pStyle w:val="Style5"/>
        <w:shd w:val="clear" w:color="auto" w:fill="auto"/>
        <w:spacing w:after="720"/>
        <w:jc w:val="both"/>
      </w:pPr>
      <w:r>
        <w:t>Pro účely této smlouvy zahrnuje výraz nakládání s odpady způsoby naklá</w:t>
      </w:r>
      <w:r w:rsidR="002208C2">
        <w:t>dání</w:t>
      </w:r>
      <w:r>
        <w:t xml:space="preserve"> s odpady uvedené v zákoně č. 541/2020 Sb., o odpadech, ve znění pozdějš</w:t>
      </w:r>
      <w:r w:rsidR="002208C2">
        <w:t>ích</w:t>
      </w:r>
      <w:r>
        <w:t xml:space="preserve"> předpisů.</w:t>
      </w:r>
    </w:p>
    <w:p w14:paraId="4B19CAFE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91"/>
        </w:tabs>
        <w:jc w:val="both"/>
      </w:pPr>
      <w:bookmarkStart w:id="7" w:name="bookmark7"/>
      <w:bookmarkStart w:id="8" w:name="bookmark8"/>
      <w:bookmarkStart w:id="9" w:name="bookmark9"/>
      <w:r>
        <w:t>Předmět smlouvy, cena</w:t>
      </w:r>
      <w:bookmarkEnd w:id="7"/>
      <w:bookmarkEnd w:id="8"/>
      <w:bookmarkEnd w:id="9"/>
    </w:p>
    <w:p w14:paraId="378D5BEC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64"/>
        </w:tabs>
        <w:jc w:val="both"/>
      </w:pPr>
      <w:r>
        <w:t>Na základě této smlouvy zhotovitel provede níže uvedené služby v objekt objednatele v Litoměřicích a okolí za podmínek zde dále specifikovaných:</w:t>
      </w:r>
    </w:p>
    <w:p w14:paraId="450C4AEB" w14:textId="77777777" w:rsidR="00BB34CB" w:rsidRDefault="00F97DC8">
      <w:pPr>
        <w:pStyle w:val="Style5"/>
        <w:numPr>
          <w:ilvl w:val="2"/>
          <w:numId w:val="1"/>
        </w:numPr>
        <w:shd w:val="clear" w:color="auto" w:fill="auto"/>
        <w:tabs>
          <w:tab w:val="left" w:pos="664"/>
        </w:tabs>
        <w:spacing w:after="0"/>
        <w:jc w:val="both"/>
      </w:pPr>
      <w:r>
        <w:t>zajišťování sběru odpadu z místa jeho původu nebo z místa sjednám smluvními stranami</w:t>
      </w:r>
    </w:p>
    <w:p w14:paraId="03A2FF94" w14:textId="77777777" w:rsidR="00BB34CB" w:rsidRDefault="00F97DC8">
      <w:pPr>
        <w:pStyle w:val="Style5"/>
        <w:numPr>
          <w:ilvl w:val="2"/>
          <w:numId w:val="1"/>
        </w:numPr>
        <w:shd w:val="clear" w:color="auto" w:fill="auto"/>
        <w:tabs>
          <w:tab w:val="left" w:pos="664"/>
        </w:tabs>
        <w:spacing w:after="0"/>
        <w:jc w:val="both"/>
      </w:pPr>
      <w:r>
        <w:t>přepravu, odstranění nebo využití dohodnutých druhů odpadů,</w:t>
      </w:r>
    </w:p>
    <w:p w14:paraId="1F337AF4" w14:textId="165C7FB4" w:rsidR="00BB34CB" w:rsidRDefault="00F97DC8">
      <w:pPr>
        <w:pStyle w:val="Style5"/>
        <w:numPr>
          <w:ilvl w:val="2"/>
          <w:numId w:val="1"/>
        </w:numPr>
        <w:shd w:val="clear" w:color="auto" w:fill="auto"/>
        <w:tabs>
          <w:tab w:val="left" w:pos="664"/>
        </w:tabs>
        <w:jc w:val="both"/>
      </w:pPr>
      <w:r>
        <w:t>nakládání s odpadem (odstranění, úprava, využití) ve shodě se všemi práv</w:t>
      </w:r>
      <w:r w:rsidR="009D3F89">
        <w:t>ními</w:t>
      </w:r>
      <w:r>
        <w:t xml:space="preserve"> předpisy platnými v době platnosti a účinnosti této smlouvy.</w:t>
      </w:r>
    </w:p>
    <w:p w14:paraId="1500A03C" w14:textId="77777777" w:rsidR="00BB34CB" w:rsidRDefault="00F97DC8">
      <w:pPr>
        <w:pStyle w:val="Style5"/>
        <w:shd w:val="clear" w:color="auto" w:fill="auto"/>
        <w:jc w:val="both"/>
      </w:pPr>
      <w:r>
        <w:t>Předmětem této smlouvy je rovněž:</w:t>
      </w:r>
    </w:p>
    <w:p w14:paraId="540FDD1C" w14:textId="77777777" w:rsidR="00BB34CB" w:rsidRDefault="00F97DC8">
      <w:pPr>
        <w:pStyle w:val="Style5"/>
        <w:numPr>
          <w:ilvl w:val="2"/>
          <w:numId w:val="1"/>
        </w:numPr>
        <w:shd w:val="clear" w:color="auto" w:fill="auto"/>
        <w:tabs>
          <w:tab w:val="left" w:pos="668"/>
        </w:tabs>
        <w:jc w:val="both"/>
      </w:pPr>
      <w:r>
        <w:t xml:space="preserve">seznam sběrných míst, ceník za Služby, druh odpadu, frekvence svozí objem nádob v rozsahu dle </w:t>
      </w:r>
      <w:r>
        <w:rPr>
          <w:b/>
          <w:bCs/>
        </w:rPr>
        <w:t>přílohy č. 1</w:t>
      </w:r>
    </w:p>
    <w:p w14:paraId="7FA267AA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6"/>
        </w:tabs>
        <w:jc w:val="both"/>
      </w:pPr>
      <w:r>
        <w:t>Za podmínek specifikovaných v této smlouvě se zhotovitel zavazuje:</w:t>
      </w:r>
    </w:p>
    <w:p w14:paraId="146FE590" w14:textId="45E77426" w:rsidR="00BB34CB" w:rsidRDefault="00F97DC8">
      <w:pPr>
        <w:pStyle w:val="Style5"/>
        <w:numPr>
          <w:ilvl w:val="2"/>
          <w:numId w:val="1"/>
        </w:numPr>
        <w:shd w:val="clear" w:color="auto" w:fill="auto"/>
        <w:tabs>
          <w:tab w:val="left" w:pos="664"/>
        </w:tabs>
        <w:jc w:val="both"/>
      </w:pPr>
      <w:r>
        <w:t>od objednatele odebírat všechny druhy odpadu (dále odpad) specifikov</w:t>
      </w:r>
      <w:r w:rsidR="009D3F89">
        <w:t>ané</w:t>
      </w:r>
      <w:r>
        <w:t xml:space="preserve"> v odst. 3.6 a v </w:t>
      </w:r>
      <w:r>
        <w:rPr>
          <w:b/>
          <w:bCs/>
        </w:rPr>
        <w:t xml:space="preserve">příloze č. 1 </w:t>
      </w:r>
      <w:r>
        <w:t>této smlouvy, a zajistit jejich sběr, přepravu, odstra</w:t>
      </w:r>
      <w:r w:rsidR="009D3F89">
        <w:t>nění</w:t>
      </w:r>
      <w:r>
        <w:t xml:space="preserve"> nebo využití a nakládání s nimi řádným způsobem, ve shodě se všemi všeobe</w:t>
      </w:r>
      <w:r w:rsidR="009D3F89">
        <w:t>cně</w:t>
      </w:r>
      <w:r>
        <w:t xml:space="preserve"> závaznými právními předpisy platnými v České republice, po dobu plnění 1 smlouvy a v souladu s platnými provozními předpisy příslušných objektů, pokud jde o využití, odstranění, sběr či nákup odpadu</w:t>
      </w:r>
    </w:p>
    <w:p w14:paraId="23C68215" w14:textId="77777777" w:rsidR="00BB34CB" w:rsidRDefault="00F97DC8">
      <w:pPr>
        <w:pStyle w:val="Style5"/>
        <w:numPr>
          <w:ilvl w:val="2"/>
          <w:numId w:val="1"/>
        </w:numPr>
        <w:shd w:val="clear" w:color="auto" w:fill="auto"/>
        <w:tabs>
          <w:tab w:val="left" w:pos="672"/>
        </w:tabs>
        <w:jc w:val="both"/>
      </w:pPr>
      <w:r>
        <w:t xml:space="preserve">zajistit dle požadavků objednatele přistavení sběrných nádob na od| v rozsahu a objemu dle </w:t>
      </w:r>
      <w:r>
        <w:rPr>
          <w:b/>
          <w:bCs/>
        </w:rPr>
        <w:t xml:space="preserve">přílohy č. 1 </w:t>
      </w:r>
      <w:r>
        <w:t xml:space="preserve">(dále jen </w:t>
      </w:r>
      <w:r>
        <w:rPr>
          <w:b/>
          <w:bCs/>
        </w:rPr>
        <w:t>„poskytované služby “).</w:t>
      </w:r>
    </w:p>
    <w:p w14:paraId="11791F05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76"/>
        </w:tabs>
        <w:jc w:val="both"/>
      </w:pPr>
      <w:r>
        <w:t xml:space="preserve">Objednatel bude zhotoviteli dodávat veškeré odpady uvedené v odst. 3.6 1 smlouvy a za poskytované služby bude platit smluvní cenu stanovenou v odst. této smlouvy a specifikovanou dle </w:t>
      </w:r>
      <w:r>
        <w:rPr>
          <w:b/>
          <w:bCs/>
        </w:rPr>
        <w:t xml:space="preserve">přílohy č. 1 </w:t>
      </w:r>
      <w:r>
        <w:t xml:space="preserve">Pro účely této smlouvy zahrnuje c&lt; veškeré náklady zhotovitele na poskytované služby a v případě odstranění </w:t>
      </w:r>
      <w:proofErr w:type="spellStart"/>
      <w:r>
        <w:t>odpi</w:t>
      </w:r>
      <w:proofErr w:type="spellEnd"/>
      <w:r>
        <w:t xml:space="preserve"> uložením na skládku odpadů včetně všech zákonných poplatků vyměřen v souladu s právními předpisy platnými v České republice v době podpisu 1</w:t>
      </w:r>
    </w:p>
    <w:p w14:paraId="6EA7CFEA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6"/>
        </w:tabs>
        <w:jc w:val="both"/>
      </w:pPr>
      <w:r>
        <w:t>Cena za dílo bude upravena v případě změny výše zákonných poplatků za odstranění odpadů či jiných zákonných poplatků vztahujících se k nakládání s odpady, které nejsou ke dni podpisu smlouvy známy. Změna ceny za dílo je v takovém případě účinná ode dne právní účinnosti změny výše zákonného poplatku.</w:t>
      </w:r>
    </w:p>
    <w:p w14:paraId="36E040B0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2"/>
        </w:tabs>
        <w:jc w:val="both"/>
      </w:pPr>
      <w:r>
        <w:t>V této ceně jsou zahrnuty veškeré náklady na straně zhotovitele spojené s realizací díla, především veškeré náklady spojené s odvozem a odstraněním nebo využitím odpadu, dodávku, pronájem nádob a obalů, manipulaci s nádobami a obaly, údržbu, desinfekci, označení nádob a obalů, poplatek za uložení odpadu na skládce, aj.</w:t>
      </w:r>
    </w:p>
    <w:p w14:paraId="541E835E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2"/>
        </w:tabs>
        <w:jc w:val="both"/>
      </w:pPr>
      <w:r>
        <w:lastRenderedPageBreak/>
        <w:t>Objednatel a zhotovitel sjednali ceny za sběr, přepravu, odstranění nebo využití odpadů pro následující druhy a kategorie odpadů (katalogové číslo, kategorie dle vyhlášky č. 8/2021 Sb. o Katalogu odpadů a hodnocení nebezpečných vlastností odpadu, dále jen „katalog odpadů“):</w:t>
      </w:r>
    </w:p>
    <w:p w14:paraId="31A2886A" w14:textId="77777777" w:rsidR="00BB34CB" w:rsidRDefault="00F97DC8">
      <w:pPr>
        <w:pStyle w:val="Style5"/>
        <w:shd w:val="clear" w:color="auto" w:fill="auto"/>
        <w:jc w:val="both"/>
      </w:pPr>
      <w:r>
        <w:t>3.6.1.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6"/>
        <w:gridCol w:w="1618"/>
        <w:gridCol w:w="5803"/>
      </w:tblGrid>
      <w:tr w:rsidR="00BB34CB" w14:paraId="1E644A43" w14:textId="77777777">
        <w:trPr>
          <w:trHeight w:hRule="exact" w:val="341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80720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</w:rPr>
              <w:t>Poř</w:t>
            </w:r>
            <w:proofErr w:type="spellEnd"/>
            <w:r>
              <w:rPr>
                <w:b/>
                <w:bCs/>
              </w:rPr>
              <w:t>. číslo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62E7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Kód odpadu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007A6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Název druhu odpadu</w:t>
            </w:r>
          </w:p>
        </w:tc>
      </w:tr>
      <w:tr w:rsidR="00BB34CB" w14:paraId="27012FC6" w14:textId="77777777">
        <w:trPr>
          <w:trHeight w:hRule="exact" w:val="226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81B074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5B09E2" w14:textId="7CEA5019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AE6504">
              <w:rPr>
                <w:b/>
                <w:bCs/>
                <w:sz w:val="18"/>
                <w:szCs w:val="18"/>
              </w:rPr>
              <w:t>50101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9728B3" w14:textId="2619C319" w:rsidR="00BB34CB" w:rsidRDefault="00AE6504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Papírové a lepenkové obaly</w:t>
            </w:r>
          </w:p>
        </w:tc>
      </w:tr>
      <w:tr w:rsidR="00BB34CB" w14:paraId="0C9F74B9" w14:textId="77777777">
        <w:trPr>
          <w:trHeight w:hRule="exact" w:val="23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92831D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CD49D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150102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35663A" w14:textId="3ABBAF26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Plastové o</w:t>
            </w:r>
            <w:r w:rsidR="00AE6504">
              <w:rPr>
                <w:sz w:val="20"/>
                <w:szCs w:val="20"/>
              </w:rPr>
              <w:t>baly</w:t>
            </w:r>
          </w:p>
        </w:tc>
      </w:tr>
      <w:tr w:rsidR="00BB34CB" w14:paraId="0D4F8CB3" w14:textId="77777777">
        <w:trPr>
          <w:trHeight w:hRule="exact" w:val="240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4D92C8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04D7A0" w14:textId="7470D1DE" w:rsidR="00BB34CB" w:rsidRPr="00AE6504" w:rsidRDefault="00AE6504">
            <w:pPr>
              <w:pStyle w:val="Style18"/>
              <w:shd w:val="clear" w:color="auto" w:fill="auto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AE6504">
              <w:rPr>
                <w:b/>
                <w:bCs/>
                <w:sz w:val="18"/>
                <w:szCs w:val="18"/>
              </w:rPr>
              <w:t>200301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D0EE36" w14:textId="45601BA9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Směsný komunální </w:t>
            </w:r>
            <w:r w:rsidR="00AE6504">
              <w:rPr>
                <w:sz w:val="20"/>
                <w:szCs w:val="20"/>
              </w:rPr>
              <w:t>odpad</w:t>
            </w:r>
          </w:p>
        </w:tc>
      </w:tr>
    </w:tbl>
    <w:p w14:paraId="3FD564E7" w14:textId="77777777" w:rsidR="00BB34CB" w:rsidRDefault="00BB34CB">
      <w:pPr>
        <w:spacing w:after="499" w:line="1" w:lineRule="exact"/>
      </w:pPr>
    </w:p>
    <w:p w14:paraId="788CBC65" w14:textId="77777777" w:rsidR="00BB34CB" w:rsidRDefault="00F97DC8">
      <w:pPr>
        <w:pStyle w:val="Style5"/>
        <w:numPr>
          <w:ilvl w:val="0"/>
          <w:numId w:val="2"/>
        </w:numPr>
        <w:shd w:val="clear" w:color="auto" w:fill="auto"/>
        <w:tabs>
          <w:tab w:val="left" w:pos="514"/>
        </w:tabs>
        <w:jc w:val="both"/>
      </w:pPr>
      <w:r>
        <w:t>Cena za dílo (celková cena za celý rozsah prací dle předmětu smlouvy), se sjednává jako cena nejvýše přípustná, a to ve výši 346 242,- Kč bez DPH.</w:t>
      </w:r>
    </w:p>
    <w:p w14:paraId="4A245DA9" w14:textId="77777777" w:rsidR="00BB34CB" w:rsidRDefault="00F97DC8">
      <w:pPr>
        <w:pStyle w:val="Style5"/>
        <w:numPr>
          <w:ilvl w:val="0"/>
          <w:numId w:val="3"/>
        </w:numPr>
        <w:shd w:val="clear" w:color="auto" w:fill="auto"/>
        <w:tabs>
          <w:tab w:val="left" w:pos="471"/>
        </w:tabs>
        <w:jc w:val="both"/>
      </w:pPr>
      <w:r>
        <w:t>Podkladem pro stanovení ceny za dílo je cenová kalkulace obsahující specifikace jednotlivých dílčích plnění s uvedením množství všech prací potřebných k provedení díla. Uvedené množství odpadů je maximálně přípustné po celou dobu plnění smlouvy. Zhotovitel odpovídá za úplnost ocenění celého díla v rozsahu cenové kalkulace se zahrnutím veškerých nákladů spojených s jeho úplným dokončením.</w:t>
      </w:r>
    </w:p>
    <w:p w14:paraId="7029F6AE" w14:textId="77777777" w:rsidR="00BB34CB" w:rsidRDefault="00F97DC8">
      <w:pPr>
        <w:pStyle w:val="Style5"/>
        <w:numPr>
          <w:ilvl w:val="0"/>
          <w:numId w:val="3"/>
        </w:numPr>
        <w:shd w:val="clear" w:color="auto" w:fill="auto"/>
        <w:tabs>
          <w:tab w:val="left" w:pos="471"/>
        </w:tabs>
        <w:jc w:val="both"/>
      </w:pPr>
      <w:r>
        <w:t xml:space="preserve">Zhotovitel se zavazuje provést veškeré vícepráce dohodnuté s objednatelem za úhradu. Vícepracemi se rozumí takové práce, které vyvstanou během provádění díla, nebylo možné je předvídat před podpisem smlouvy, jsou nezbytně nutné k dokončení předmětného díla a odsouhlasené oběma smluvními stranami dle </w:t>
      </w:r>
      <w:proofErr w:type="spellStart"/>
      <w:r>
        <w:t>ust</w:t>
      </w:r>
      <w:proofErr w:type="spellEnd"/>
      <w:r>
        <w:t>. § 222 zákona č. 134/2016 Sb., o zadávání veřejných zakázek, ve znění pozdějších předpisů. Vícepráce budou popsány formou dodatečné cenové kalkulace a oceněny dle jednotkových cen v cenové kalkulaci. Položky neuvedené v cenové kalkulaci budou oceněny v obvyklých cenách. Provádění víceprací lze zahájit až po uzavření písemného dodatku ke smlouvě, jehož nedílnou součástí bude cenová kalkulace zpracovaná položkově a v souladu s pravidly stanovenými touto smlouvou.</w:t>
      </w:r>
    </w:p>
    <w:p w14:paraId="14E96CB2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  <w:spacing w:after="180"/>
        <w:jc w:val="both"/>
      </w:pPr>
      <w:bookmarkStart w:id="10" w:name="bookmark10"/>
      <w:bookmarkStart w:id="11" w:name="bookmark11"/>
      <w:bookmarkStart w:id="12" w:name="bookmark12"/>
      <w:r>
        <w:t>Platební podmínky</w:t>
      </w:r>
      <w:bookmarkEnd w:id="10"/>
      <w:bookmarkEnd w:id="11"/>
      <w:bookmarkEnd w:id="12"/>
    </w:p>
    <w:p w14:paraId="59FBA953" w14:textId="34CE7359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33"/>
        </w:tabs>
        <w:spacing w:after="180"/>
        <w:jc w:val="both"/>
      </w:pPr>
      <w:r>
        <w:t>Cena za poskytované služby bude po celou dobu trvání smlouvy (48 měs</w:t>
      </w:r>
      <w:r w:rsidR="00C41190">
        <w:t>íců)</w:t>
      </w:r>
      <w:r>
        <w:t xml:space="preserve"> vždy hrazena měsíčně paušální částkou tvořící 1/48 smluvní ceny. Faktura b</w:t>
      </w:r>
      <w:r w:rsidR="00C41190">
        <w:t>ude</w:t>
      </w:r>
      <w:r>
        <w:t xml:space="preserve"> zhotovitelem vystavována na konci každého měsíce po celou dobu trvání smlouvy</w:t>
      </w:r>
      <w:r w:rsidR="00C41190">
        <w:t>.</w:t>
      </w:r>
    </w:p>
    <w:p w14:paraId="269BCBFE" w14:textId="5B44AC0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2"/>
        </w:tabs>
        <w:spacing w:after="180" w:line="283" w:lineRule="auto"/>
        <w:jc w:val="both"/>
      </w:pPr>
      <w:r>
        <w:t>Souhrnný rozsah poskytovaných služeb bude přílohou s fakturou za poskytov</w:t>
      </w:r>
      <w:r w:rsidR="00C41190">
        <w:t>ané</w:t>
      </w:r>
      <w:r>
        <w:t xml:space="preserve"> služby.</w:t>
      </w:r>
    </w:p>
    <w:p w14:paraId="41ED85E5" w14:textId="469E4EFD" w:rsidR="00BB34CB" w:rsidRDefault="00F97DC8">
      <w:pPr>
        <w:pStyle w:val="Style5"/>
        <w:shd w:val="clear" w:color="auto" w:fill="auto"/>
        <w:spacing w:after="180"/>
        <w:jc w:val="both"/>
      </w:pPr>
      <w:r>
        <w:t>4.3. Faktura bude obsahovat všechny náležitosti řádného účetního a daňov</w:t>
      </w:r>
      <w:r w:rsidR="00C41190">
        <w:t>ého</w:t>
      </w:r>
      <w:r>
        <w:t xml:space="preserve"> dokladu ve smyslu příslušných právních předpisů, zejména zákona č. 563/1991 o účetnictví, ve znění pozdějších předpisů a zákona č. 235/2004 Sb., o</w:t>
      </w:r>
      <w:r w:rsidR="00C41190">
        <w:t xml:space="preserve"> dani</w:t>
      </w:r>
      <w:r>
        <w:t xml:space="preserve"> z přidané hodnoty, ve znění pozdějších předpisů.</w:t>
      </w:r>
    </w:p>
    <w:p w14:paraId="50368BFD" w14:textId="6292411B" w:rsidR="00BB34CB" w:rsidRDefault="00F97DC8">
      <w:pPr>
        <w:pStyle w:val="Style5"/>
        <w:numPr>
          <w:ilvl w:val="0"/>
          <w:numId w:val="4"/>
        </w:numPr>
        <w:shd w:val="clear" w:color="auto" w:fill="auto"/>
        <w:tabs>
          <w:tab w:val="left" w:pos="462"/>
        </w:tabs>
        <w:spacing w:after="180"/>
        <w:jc w:val="both"/>
      </w:pPr>
      <w:r>
        <w:t>Splatnost faktury bude 30 dní od dne doručení objednateli. Faktura bude za</w:t>
      </w:r>
      <w:r w:rsidR="009F3677">
        <w:t>sílána</w:t>
      </w:r>
      <w:r>
        <w:t xml:space="preserve"> elektronicky na předem danou adresu zadavatele.</w:t>
      </w:r>
    </w:p>
    <w:p w14:paraId="57A55508" w14:textId="26379A14" w:rsidR="00BB34CB" w:rsidRDefault="00F97DC8">
      <w:pPr>
        <w:pStyle w:val="Style5"/>
        <w:numPr>
          <w:ilvl w:val="0"/>
          <w:numId w:val="4"/>
        </w:numPr>
        <w:shd w:val="clear" w:color="auto" w:fill="auto"/>
        <w:tabs>
          <w:tab w:val="left" w:pos="462"/>
        </w:tabs>
        <w:spacing w:after="180"/>
        <w:jc w:val="both"/>
      </w:pPr>
      <w:r>
        <w:t>V případě prodlení objednatele s placením ceny dle čl. 4.3. této smlouv</w:t>
      </w:r>
      <w:r w:rsidR="0085237B">
        <w:t>y je</w:t>
      </w:r>
      <w:r>
        <w:t xml:space="preserve"> zhotovitel oprávněn požadovat na objednateli uhrazení úroku z prodlení v záko</w:t>
      </w:r>
      <w:r w:rsidR="0085237B">
        <w:t>nné</w:t>
      </w:r>
      <w:r>
        <w:t xml:space="preserve"> výši až do úplného zaplacení.</w:t>
      </w:r>
    </w:p>
    <w:p w14:paraId="7CBBF1DD" w14:textId="77777777" w:rsidR="00BB34CB" w:rsidRDefault="00F97DC8">
      <w:pPr>
        <w:pStyle w:val="Style5"/>
        <w:numPr>
          <w:ilvl w:val="0"/>
          <w:numId w:val="4"/>
        </w:numPr>
        <w:shd w:val="clear" w:color="auto" w:fill="auto"/>
        <w:tabs>
          <w:tab w:val="left" w:pos="462"/>
        </w:tabs>
        <w:spacing w:after="720"/>
        <w:jc w:val="both"/>
      </w:pPr>
      <w:r>
        <w:t>Cena poskytovaných služeb, jež není předmětem této smlouvy (mimořádný odpad), se sjedná samostatně před odebráním odpadu zhotovitelem.</w:t>
      </w:r>
    </w:p>
    <w:p w14:paraId="513AA2F2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407"/>
        </w:tabs>
        <w:spacing w:after="180"/>
        <w:jc w:val="both"/>
      </w:pPr>
      <w:bookmarkStart w:id="13" w:name="bookmark13"/>
      <w:bookmarkStart w:id="14" w:name="bookmark14"/>
      <w:bookmarkStart w:id="15" w:name="bookmark15"/>
      <w:r>
        <w:lastRenderedPageBreak/>
        <w:t>Čas a místo plnění</w:t>
      </w:r>
      <w:bookmarkEnd w:id="13"/>
      <w:bookmarkEnd w:id="14"/>
      <w:bookmarkEnd w:id="15"/>
    </w:p>
    <w:p w14:paraId="5189FAE6" w14:textId="7DA928C6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23"/>
        </w:tabs>
        <w:spacing w:after="180"/>
        <w:jc w:val="both"/>
      </w:pPr>
      <w:r>
        <w:t>Zhotovitel bude od objednatele odebírat odpad uvedený v odst. 3.6 a v</w:t>
      </w:r>
      <w:r w:rsidR="00F276F0">
        <w:t> </w:t>
      </w:r>
      <w:r>
        <w:rPr>
          <w:b/>
          <w:bCs/>
        </w:rPr>
        <w:t>př</w:t>
      </w:r>
      <w:r w:rsidR="00F276F0">
        <w:rPr>
          <w:b/>
          <w:bCs/>
        </w:rPr>
        <w:t>íloze č.</w:t>
      </w:r>
      <w:r>
        <w:rPr>
          <w:b/>
          <w:bCs/>
        </w:rPr>
        <w:t xml:space="preserve"> 1 </w:t>
      </w:r>
      <w:r>
        <w:t xml:space="preserve">a místem sběru jsou pouze stanoviště (adresa) uvedená </w:t>
      </w:r>
      <w:r>
        <w:rPr>
          <w:b/>
          <w:bCs/>
        </w:rPr>
        <w:t>v příloze č 1.</w:t>
      </w:r>
    </w:p>
    <w:p w14:paraId="356B335B" w14:textId="54F06FC3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2"/>
        </w:tabs>
        <w:spacing w:after="180"/>
        <w:jc w:val="both"/>
      </w:pPr>
      <w:r>
        <w:t>Zhotovitel převezme od objednatele odpad uvedený v odst. 3.6 a v</w:t>
      </w:r>
      <w:r w:rsidR="00F276F0">
        <w:t> </w:t>
      </w:r>
      <w:r>
        <w:rPr>
          <w:b/>
          <w:bCs/>
        </w:rPr>
        <w:t>příloze</w:t>
      </w:r>
      <w:r w:rsidR="00F276F0">
        <w:rPr>
          <w:b/>
          <w:bCs/>
        </w:rPr>
        <w:t xml:space="preserve"> č. 1</w:t>
      </w:r>
      <w:r>
        <w:rPr>
          <w:b/>
          <w:bCs/>
        </w:rPr>
        <w:t xml:space="preserve"> </w:t>
      </w:r>
      <w:r>
        <w:t xml:space="preserve">této smlouvy v pravidelném režimu uvedeném </w:t>
      </w:r>
      <w:r>
        <w:rPr>
          <w:b/>
          <w:bCs/>
        </w:rPr>
        <w:t xml:space="preserve">v příloze č. 1. </w:t>
      </w:r>
      <w:r>
        <w:t>V případě, že zhoto</w:t>
      </w:r>
      <w:r w:rsidR="00F276F0">
        <w:t>vitel</w:t>
      </w:r>
      <w:r>
        <w:t xml:space="preserve"> nesplní svoji povinnost sběru v pravidelném režimu dle tohoto článku, je pov</w:t>
      </w:r>
      <w:r w:rsidR="00F276F0">
        <w:t>inen</w:t>
      </w:r>
      <w:r>
        <w:t xml:space="preserve"> svoji povinnost splnit nejpozději do následujících 48 hodin (2 dny) je objed</w:t>
      </w:r>
      <w:r w:rsidR="00F276F0">
        <w:t>natel</w:t>
      </w:r>
      <w:r>
        <w:t xml:space="preserve"> oprávněn požadovat na zhotoviteli uhrazení smluvní pokuty ve výši 0,05% z</w:t>
      </w:r>
      <w:r w:rsidR="00BD16DB">
        <w:t> </w:t>
      </w:r>
      <w:r>
        <w:t>ce</w:t>
      </w:r>
      <w:r w:rsidR="00BD16DB">
        <w:t>ny za</w:t>
      </w:r>
      <w:r>
        <w:t xml:space="preserve"> dílo.</w:t>
      </w:r>
    </w:p>
    <w:p w14:paraId="6C9DEFD0" w14:textId="34536307" w:rsidR="00BB34CB" w:rsidRDefault="00F97DC8">
      <w:pPr>
        <w:pStyle w:val="Style5"/>
        <w:numPr>
          <w:ilvl w:val="0"/>
          <w:numId w:val="5"/>
        </w:numPr>
        <w:shd w:val="clear" w:color="auto" w:fill="auto"/>
        <w:tabs>
          <w:tab w:val="left" w:pos="711"/>
        </w:tabs>
        <w:spacing w:after="180"/>
        <w:jc w:val="both"/>
      </w:pPr>
      <w:r>
        <w:t>V případě zásahu vyšší moci (např. povodeň, sněhová kalamita, ohláše</w:t>
      </w:r>
      <w:r w:rsidR="00BE1EA5">
        <w:t>né či</w:t>
      </w:r>
      <w:r>
        <w:t xml:space="preserve"> neohlášené veřejné shromáždění apod.) je oprávněn zhotovitel splnit svoji povin</w:t>
      </w:r>
      <w:r w:rsidR="00BE1EA5">
        <w:t>en</w:t>
      </w:r>
      <w:r>
        <w:t xml:space="preserve"> dle této smlouvy i dodatečně, bez určení konkrétní doby plnění. V tomto případě</w:t>
      </w:r>
      <w:r w:rsidR="00BE1EA5">
        <w:t xml:space="preserve"> není</w:t>
      </w:r>
      <w:r>
        <w:t xml:space="preserve"> zhotovitel v prodlení plnění smlouvy a nelze vůči němu uplatnit jakékoliv sa</w:t>
      </w:r>
      <w:r w:rsidR="00BE1EA5">
        <w:t>nkce</w:t>
      </w:r>
      <w:r>
        <w:t xml:space="preserve"> vyplývající z této smlouvy.</w:t>
      </w:r>
    </w:p>
    <w:p w14:paraId="1820C6BF" w14:textId="77777777" w:rsidR="00BB34CB" w:rsidRPr="00BE60A2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52"/>
        </w:tabs>
        <w:spacing w:after="180"/>
        <w:jc w:val="both"/>
      </w:pPr>
      <w:r>
        <w:t xml:space="preserve">Tato smlouva se uzavírá </w:t>
      </w:r>
      <w:r>
        <w:rPr>
          <w:b/>
          <w:bCs/>
        </w:rPr>
        <w:t>na 4 roky, a to od 1.1.2022 do 31.12.2025.</w:t>
      </w:r>
    </w:p>
    <w:p w14:paraId="19F42194" w14:textId="37AB5A2E" w:rsidR="00BE60A2" w:rsidRDefault="00BE60A2" w:rsidP="00BE60A2">
      <w:pPr>
        <w:pStyle w:val="Style5"/>
        <w:shd w:val="clear" w:color="auto" w:fill="auto"/>
        <w:tabs>
          <w:tab w:val="left" w:pos="452"/>
        </w:tabs>
        <w:spacing w:after="180"/>
        <w:jc w:val="both"/>
        <w:rPr>
          <w:b/>
          <w:bCs/>
        </w:rPr>
      </w:pPr>
    </w:p>
    <w:p w14:paraId="647CD0CA" w14:textId="5B018979" w:rsidR="00BE60A2" w:rsidRPr="00BE60A2" w:rsidRDefault="00BE60A2" w:rsidP="00BE60A2">
      <w:pPr>
        <w:pStyle w:val="Style5"/>
        <w:shd w:val="clear" w:color="auto" w:fill="auto"/>
        <w:tabs>
          <w:tab w:val="left" w:pos="452"/>
        </w:tabs>
        <w:spacing w:after="180"/>
        <w:jc w:val="both"/>
      </w:pPr>
      <w:r w:rsidRPr="00BE60A2">
        <w:t>5.4</w:t>
      </w:r>
      <w:r>
        <w:t xml:space="preserve"> Platnost a účinnost této smlouvy může být kdykoli ukončena dohodou smluvních stran.</w:t>
      </w:r>
    </w:p>
    <w:p w14:paraId="2163B045" w14:textId="77777777" w:rsidR="00BE60A2" w:rsidRDefault="00BE60A2" w:rsidP="00BE60A2">
      <w:pPr>
        <w:pStyle w:val="Style5"/>
        <w:shd w:val="clear" w:color="auto" w:fill="auto"/>
        <w:tabs>
          <w:tab w:val="left" w:pos="452"/>
        </w:tabs>
        <w:spacing w:after="180"/>
        <w:jc w:val="both"/>
        <w:rPr>
          <w:b/>
          <w:bCs/>
        </w:rPr>
      </w:pPr>
    </w:p>
    <w:p w14:paraId="020602E4" w14:textId="2362D3CA" w:rsidR="00BE60A2" w:rsidRDefault="00BE60A2" w:rsidP="00BE60A2">
      <w:pPr>
        <w:pStyle w:val="Style5"/>
        <w:shd w:val="clear" w:color="auto" w:fill="auto"/>
        <w:tabs>
          <w:tab w:val="left" w:pos="452"/>
        </w:tabs>
        <w:spacing w:after="180"/>
        <w:jc w:val="both"/>
        <w:sectPr w:rsidR="00BE60A2">
          <w:footerReference w:type="even" r:id="rId7"/>
          <w:footerReference w:type="default" r:id="rId8"/>
          <w:footerReference w:type="first" r:id="rId9"/>
          <w:pgSz w:w="11909" w:h="16834"/>
          <w:pgMar w:top="999" w:right="1082" w:bottom="1677" w:left="1581" w:header="0" w:footer="3" w:gutter="0"/>
          <w:pgNumType w:start="1"/>
          <w:cols w:space="720"/>
          <w:noEndnote/>
          <w:titlePg/>
          <w:docGrid w:linePitch="360"/>
        </w:sectPr>
      </w:pPr>
    </w:p>
    <w:p w14:paraId="3BA98FEA" w14:textId="77777777" w:rsidR="00BB34CB" w:rsidRDefault="00F97DC8">
      <w:pPr>
        <w:pStyle w:val="Style5"/>
        <w:numPr>
          <w:ilvl w:val="0"/>
          <w:numId w:val="6"/>
        </w:numPr>
        <w:shd w:val="clear" w:color="auto" w:fill="auto"/>
        <w:tabs>
          <w:tab w:val="left" w:pos="463"/>
        </w:tabs>
        <w:spacing w:after="180" w:line="283" w:lineRule="auto"/>
        <w:jc w:val="both"/>
      </w:pPr>
      <w:r>
        <w:lastRenderedPageBreak/>
        <w:t>Kterákoli smluvní strana má právo tuto smlouvu vypovědět i bez uvedení důvodu, a to doručením písemné výpovědi druhé smluvní straně. Výpovědní doba činí 3 měsíce a začíná běžet prvním dnem kalendářního měsíce následujícího po měsíci, kdy byla výpověď doručena.</w:t>
      </w:r>
    </w:p>
    <w:p w14:paraId="7302C87E" w14:textId="77777777" w:rsidR="00BB34CB" w:rsidRDefault="00F97DC8">
      <w:pPr>
        <w:pStyle w:val="Style5"/>
        <w:numPr>
          <w:ilvl w:val="0"/>
          <w:numId w:val="6"/>
        </w:numPr>
        <w:shd w:val="clear" w:color="auto" w:fill="auto"/>
        <w:tabs>
          <w:tab w:val="left" w:pos="473"/>
        </w:tabs>
        <w:spacing w:after="180"/>
        <w:jc w:val="both"/>
      </w:pPr>
      <w:r>
        <w:t>Objednatel je oprávněn tuto smlouvu vypovědět s účinností ke dni doručení výpovědi zhotoviteli v případě, že zhotovitel navzdory písemné výzvě objednatele opakovaně (tj. alespoň jednou po doručení písemné výzvy) hrubě porušil své povinnosti dle této smlouvy nebo dle právních předpisů upravujících nakládání s odpady v souvislosti s touto smlouvou.</w:t>
      </w:r>
    </w:p>
    <w:p w14:paraId="4CD27B5D" w14:textId="77777777" w:rsidR="00BB34CB" w:rsidRDefault="00F97DC8">
      <w:pPr>
        <w:pStyle w:val="Style5"/>
        <w:numPr>
          <w:ilvl w:val="0"/>
          <w:numId w:val="6"/>
        </w:numPr>
        <w:shd w:val="clear" w:color="auto" w:fill="auto"/>
        <w:tabs>
          <w:tab w:val="left" w:pos="468"/>
        </w:tabs>
        <w:spacing w:after="180"/>
        <w:jc w:val="both"/>
      </w:pPr>
      <w:r>
        <w:t>V případě, že objednatel bude v prodlení s platbou po dobu delší než 2 měsíce, vyhrazuje si zhotovitel právo na odůvodněné přerušení jakýchkoli budoucích služeb uvedených v této smlouvě. Tato situace nezakládá právo objednatele na kompenzaci škod vzniklých v důsledku přerušení poskytování služeb zhotovitelem.</w:t>
      </w:r>
    </w:p>
    <w:p w14:paraId="41D386B6" w14:textId="77777777" w:rsidR="00BB34CB" w:rsidRDefault="00F97DC8">
      <w:pPr>
        <w:pStyle w:val="Style5"/>
        <w:numPr>
          <w:ilvl w:val="0"/>
          <w:numId w:val="7"/>
        </w:numPr>
        <w:shd w:val="clear" w:color="auto" w:fill="auto"/>
        <w:tabs>
          <w:tab w:val="left" w:pos="516"/>
        </w:tabs>
        <w:spacing w:after="180"/>
        <w:jc w:val="both"/>
      </w:pPr>
      <w:r>
        <w:t>Kontaktní osoby a údaje pro doručování Smluvním stranám:</w:t>
      </w:r>
    </w:p>
    <w:p w14:paraId="6AE3CB7B" w14:textId="77777777" w:rsidR="00BB34CB" w:rsidRDefault="00F97DC8">
      <w:pPr>
        <w:pStyle w:val="Style5"/>
        <w:shd w:val="clear" w:color="auto" w:fill="auto"/>
        <w:spacing w:after="0" w:line="240" w:lineRule="auto"/>
        <w:jc w:val="both"/>
      </w:pPr>
      <w:r>
        <w:t>Za objednatele:</w:t>
      </w:r>
    </w:p>
    <w:p w14:paraId="400225F2" w14:textId="06ED1B9D" w:rsidR="00BB34CB" w:rsidRDefault="00F97DC8">
      <w:pPr>
        <w:pStyle w:val="Style5"/>
        <w:shd w:val="clear" w:color="auto" w:fill="auto"/>
        <w:spacing w:after="0" w:line="240" w:lineRule="auto"/>
        <w:ind w:firstLine="720"/>
        <w:jc w:val="both"/>
      </w:pPr>
      <w:r>
        <w:t xml:space="preserve">kontaktní osoba: </w:t>
      </w:r>
      <w:r w:rsidR="004267FA">
        <w:t>XXXXXXXXXXXXXXX</w:t>
      </w:r>
    </w:p>
    <w:p w14:paraId="2D767CEC" w14:textId="43C52FB3" w:rsidR="00BB34CB" w:rsidRDefault="00F97DC8">
      <w:pPr>
        <w:pStyle w:val="Style5"/>
        <w:shd w:val="clear" w:color="auto" w:fill="auto"/>
        <w:spacing w:after="0" w:line="240" w:lineRule="auto"/>
        <w:ind w:firstLine="720"/>
        <w:jc w:val="both"/>
      </w:pPr>
      <w:r>
        <w:t xml:space="preserve">tel. </w:t>
      </w:r>
      <w:proofErr w:type="spellStart"/>
      <w:r>
        <w:t>číslo:</w:t>
      </w:r>
      <w:r w:rsidR="004267FA">
        <w:t>XXXXXXXXXX</w:t>
      </w:r>
      <w:proofErr w:type="spellEnd"/>
    </w:p>
    <w:p w14:paraId="35A33291" w14:textId="7412F4F6" w:rsidR="00BB34CB" w:rsidRDefault="00F97DC8">
      <w:pPr>
        <w:pStyle w:val="Style5"/>
        <w:shd w:val="clear" w:color="auto" w:fill="auto"/>
        <w:spacing w:after="360" w:line="240" w:lineRule="auto"/>
        <w:ind w:firstLine="720"/>
        <w:jc w:val="both"/>
      </w:pPr>
      <w:proofErr w:type="spellStart"/>
      <w:r>
        <w:t>e-mail:milan</w:t>
      </w:r>
      <w:proofErr w:type="spellEnd"/>
      <w:r>
        <w:t xml:space="preserve">. </w:t>
      </w:r>
      <w:hyperlink r:id="rId10" w:history="1">
        <w:r w:rsidR="004267FA">
          <w:rPr>
            <w:lang w:val="en-US" w:eastAsia="en-US" w:bidi="en-US"/>
          </w:rPr>
          <w:t>XXXXXXXXXXXXXX</w:t>
        </w:r>
      </w:hyperlink>
    </w:p>
    <w:p w14:paraId="50D7AD6E" w14:textId="77777777" w:rsidR="00BB34CB" w:rsidRDefault="00F97DC8">
      <w:pPr>
        <w:pStyle w:val="Style5"/>
        <w:shd w:val="clear" w:color="auto" w:fill="auto"/>
        <w:spacing w:after="0"/>
      </w:pPr>
      <w:r>
        <w:t>Za zhotovitele:</w:t>
      </w:r>
    </w:p>
    <w:p w14:paraId="7D253D1C" w14:textId="111824FE" w:rsidR="00BB34CB" w:rsidRDefault="00F97DC8">
      <w:pPr>
        <w:pStyle w:val="Style5"/>
        <w:shd w:val="clear" w:color="auto" w:fill="auto"/>
        <w:spacing w:after="0"/>
        <w:ind w:firstLine="720"/>
        <w:jc w:val="both"/>
      </w:pPr>
      <w:r>
        <w:t xml:space="preserve">kontaktní osoba: </w:t>
      </w:r>
      <w:r w:rsidR="004267FA">
        <w:t>XXXXXXXXXXXXXX</w:t>
      </w:r>
    </w:p>
    <w:p w14:paraId="18A64772" w14:textId="06E0C702" w:rsidR="00BB34CB" w:rsidRDefault="00F97DC8">
      <w:pPr>
        <w:pStyle w:val="Style5"/>
        <w:shd w:val="clear" w:color="auto" w:fill="auto"/>
        <w:spacing w:after="0" w:line="240" w:lineRule="auto"/>
        <w:ind w:firstLine="720"/>
        <w:jc w:val="both"/>
      </w:pPr>
      <w:r>
        <w:t xml:space="preserve">tel. číslo: </w:t>
      </w:r>
      <w:r w:rsidR="004267FA">
        <w:t>XXXXXXXXXXXX</w:t>
      </w:r>
    </w:p>
    <w:p w14:paraId="3E0FA606" w14:textId="20166196" w:rsidR="00BB34CB" w:rsidRDefault="00F97DC8">
      <w:pPr>
        <w:pStyle w:val="Style5"/>
        <w:shd w:val="clear" w:color="auto" w:fill="auto"/>
        <w:spacing w:after="540" w:line="240" w:lineRule="auto"/>
        <w:ind w:firstLine="720"/>
        <w:jc w:val="both"/>
      </w:pPr>
      <w:r>
        <w:t xml:space="preserve">e-mail: </w:t>
      </w:r>
      <w:hyperlink r:id="rId11" w:history="1">
        <w:r w:rsidR="004267FA">
          <w:rPr>
            <w:lang w:val="en-US" w:eastAsia="en-US" w:bidi="en-US"/>
          </w:rPr>
          <w:t>XXXXXXXXXXXXXXXXXXXXXX</w:t>
        </w:r>
      </w:hyperlink>
    </w:p>
    <w:p w14:paraId="79610433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431"/>
        </w:tabs>
        <w:spacing w:after="180"/>
      </w:pPr>
      <w:bookmarkStart w:id="16" w:name="bookmark16"/>
      <w:bookmarkStart w:id="17" w:name="bookmark17"/>
      <w:bookmarkStart w:id="18" w:name="bookmark18"/>
      <w:r>
        <w:t>Práva a povinnosti smluvních stran</w:t>
      </w:r>
      <w:bookmarkEnd w:id="16"/>
      <w:bookmarkEnd w:id="17"/>
      <w:bookmarkEnd w:id="18"/>
    </w:p>
    <w:p w14:paraId="19EB186F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35"/>
        </w:tabs>
        <w:spacing w:after="180"/>
        <w:jc w:val="both"/>
      </w:pPr>
      <w:r>
        <w:t xml:space="preserve">Zhotovitel zajistí, že s odpadem uvedeným v odst. 3.6 a v </w:t>
      </w:r>
      <w:r>
        <w:rPr>
          <w:b/>
          <w:bCs/>
        </w:rPr>
        <w:t xml:space="preserve">příloze č. 1 </w:t>
      </w:r>
      <w:r>
        <w:t xml:space="preserve">této smlouvy bude nakládáno s profesionální péčí. Při plnění této povinnosti nebude zhotovitel vázán povinností dodržovat pokyny objednatele. Zhotovitel je též zmocněn delegovat poddodavatele, aby prováděl plnění služby za zhotovitele. Seznam poddodavatelů je uveden v </w:t>
      </w:r>
      <w:r>
        <w:rPr>
          <w:b/>
          <w:bCs/>
        </w:rPr>
        <w:t xml:space="preserve">příloze č. 2 </w:t>
      </w:r>
      <w:r>
        <w:t>V případě plnění poskytovaných služeb poddodavatelem zhotovitele, odpovídá zhotovitel za plnění všech povinností dle této smlouvy, jako by je plnil sám.</w:t>
      </w:r>
    </w:p>
    <w:p w14:paraId="6B151032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3"/>
        </w:tabs>
        <w:spacing w:after="0" w:line="240" w:lineRule="auto"/>
        <w:jc w:val="both"/>
      </w:pPr>
      <w:r>
        <w:t xml:space="preserve">Zhotovitel je zavázán dodat objednateli paušální svozové známky (samolepky) případně jednorázové známky v rozsahu a skladbě dle </w:t>
      </w:r>
      <w:r>
        <w:rPr>
          <w:b/>
          <w:bCs/>
        </w:rPr>
        <w:t xml:space="preserve">přílohy č. 1 </w:t>
      </w:r>
      <w:r>
        <w:t>Smlouvy pouze v případě, je-li to pro danou nádobu vyžadováno. V tomto případě je objednatel povinen označit Sběrné nádoby těmito známkami, neboť obě smluvní strany budou mít shodně za to, že pouze takto označené Sběrné nádoby slouží k odkládání a vývozu odpadů podle této Smlouvy.</w:t>
      </w:r>
    </w:p>
    <w:p w14:paraId="221B3F02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68"/>
        </w:tabs>
        <w:spacing w:after="180" w:line="240" w:lineRule="auto"/>
        <w:jc w:val="both"/>
      </w:pPr>
      <w:r>
        <w:t xml:space="preserve">Zhotovitel je povinen zajistit na své náklady opravu nebo výměnu nádoby, dojde- </w:t>
      </w:r>
      <w:proofErr w:type="spellStart"/>
      <w:r>
        <w:t>li</w:t>
      </w:r>
      <w:proofErr w:type="spellEnd"/>
      <w:r>
        <w:t xml:space="preserve"> k jejímu prokazatelnému poškození jednáním ze strany zaměstnanců zhotovitele, a to nejpozději do 10 pracovních dní od nahlášení.</w:t>
      </w:r>
    </w:p>
    <w:p w14:paraId="0A4CF87C" w14:textId="1F8B3162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86"/>
        </w:tabs>
        <w:spacing w:after="0" w:line="240" w:lineRule="auto"/>
        <w:jc w:val="both"/>
      </w:pPr>
      <w:r>
        <w:t>Zhotovitel je povinen bez zbytečného odkladu informovat objednatele o ome</w:t>
      </w:r>
      <w:r w:rsidR="004267FA">
        <w:t>zení</w:t>
      </w:r>
      <w:r>
        <w:t xml:space="preserve"> či zrušení licence, nutné k přebírání odpadu a nakládaní s nebezpečnými odp</w:t>
      </w:r>
      <w:r w:rsidR="004267FA">
        <w:t>ady.</w:t>
      </w:r>
      <w:r>
        <w:t xml:space="preserve"> Zhotovitel je v takovém případě povinen nahradit objednateli případnou škodu</w:t>
      </w:r>
      <w:r w:rsidR="004267FA">
        <w:t xml:space="preserve"> která</w:t>
      </w:r>
      <w:r>
        <w:t>, mu v důsledku této skutečnosti prokazatelně vznikne.</w:t>
      </w:r>
    </w:p>
    <w:p w14:paraId="45E56ED5" w14:textId="7C63141D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86"/>
        </w:tabs>
        <w:spacing w:after="0" w:line="240" w:lineRule="auto"/>
        <w:jc w:val="both"/>
      </w:pPr>
      <w:r>
        <w:t>Objednatel je povinen poskytnout Zhotoviteli nezbytnou a včasnou součin</w:t>
      </w:r>
      <w:r w:rsidR="002429B3">
        <w:t>nost</w:t>
      </w:r>
      <w:r>
        <w:t xml:space="preserve"> k řádnému plnění této Smlouvy zhotovitelem.</w:t>
      </w:r>
    </w:p>
    <w:p w14:paraId="0DD9CDA7" w14:textId="1940E744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86"/>
        </w:tabs>
        <w:spacing w:after="0" w:line="240" w:lineRule="auto"/>
        <w:jc w:val="both"/>
      </w:pPr>
      <w:r>
        <w:t>Reakční doba na požadavek objednatele změny počtu svozových ná</w:t>
      </w:r>
      <w:r w:rsidR="002429B3">
        <w:t>dob</w:t>
      </w:r>
      <w:r>
        <w:t xml:space="preserve"> navýšení i snížení je vždy od 1. dne v měsíci (požadavek musí být do</w:t>
      </w:r>
      <w:r w:rsidR="002429B3">
        <w:t>ručen</w:t>
      </w:r>
      <w:r>
        <w:t xml:space="preserve"> zhotoviteli do 20. dne příslušného kalendářního měsíce).</w:t>
      </w:r>
    </w:p>
    <w:p w14:paraId="77B34533" w14:textId="7A494D92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86"/>
        </w:tabs>
        <w:jc w:val="both"/>
      </w:pPr>
      <w:r>
        <w:lastRenderedPageBreak/>
        <w:t>Zhotovitel plně odpovídá za dodržování bezpečnostních předpisů při poskyto</w:t>
      </w:r>
      <w:r w:rsidR="003B1DCF">
        <w:t>vání</w:t>
      </w:r>
      <w:r>
        <w:t xml:space="preserve"> služeb, a to jak vlastními zaměstnanci, tak zaměstnanci </w:t>
      </w:r>
      <w:proofErr w:type="spellStart"/>
      <w:r>
        <w:t>poddovatelů</w:t>
      </w:r>
      <w:proofErr w:type="spellEnd"/>
      <w:r>
        <w:t>.</w:t>
      </w:r>
    </w:p>
    <w:p w14:paraId="3372A4F2" w14:textId="0E9D9435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86"/>
        </w:tabs>
        <w:jc w:val="both"/>
      </w:pPr>
      <w:r>
        <w:t>Při poskytování služeb se objednatel zavazuje, že sběrné nádoby pro uklá</w:t>
      </w:r>
      <w:r w:rsidR="003B1DCF">
        <w:t>ní</w:t>
      </w:r>
      <w:r>
        <w:t xml:space="preserve"> odpadů uvedené </w:t>
      </w:r>
      <w:r>
        <w:rPr>
          <w:b/>
          <w:bCs/>
        </w:rPr>
        <w:t xml:space="preserve">v příloze č. 1 </w:t>
      </w:r>
      <w:r>
        <w:t xml:space="preserve">budou v den svozu umístěny nejdále 15 </w:t>
      </w:r>
      <w:r w:rsidR="003B1DCF">
        <w:t>m od</w:t>
      </w:r>
      <w:r>
        <w:t xml:space="preserve"> pojezdové vzdálenosti běžného nákladního vozidla s nosností 12 tun a výše.</w:t>
      </w:r>
    </w:p>
    <w:p w14:paraId="502EB5A6" w14:textId="0BC825EC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486"/>
        </w:tabs>
        <w:jc w:val="both"/>
      </w:pPr>
      <w:r>
        <w:t>V případě, že stanoviště umístění nádob v den svozu vyžaduje povolen</w:t>
      </w:r>
      <w:r w:rsidR="003B1DCF">
        <w:t>í dle</w:t>
      </w:r>
      <w:r>
        <w:t xml:space="preserve"> zvláštních právních předpisů, je povinen objednatel tuto skutečnost předem s</w:t>
      </w:r>
      <w:r w:rsidR="003B1DCF">
        <w:t>dělit</w:t>
      </w:r>
      <w:r>
        <w:t xml:space="preserve"> zhotoviteli, jinak není zhotovitel v prodlení s plněním poskytovaných služeb.</w:t>
      </w:r>
    </w:p>
    <w:p w14:paraId="2AFB8410" w14:textId="29893CBE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91"/>
        </w:tabs>
        <w:jc w:val="both"/>
      </w:pPr>
      <w:r>
        <w:t>V případě, že stanoviště umístění nádob v den svozu vyžaduje zvláštní pov</w:t>
      </w:r>
      <w:r w:rsidR="003B1DCF">
        <w:t>olení</w:t>
      </w:r>
      <w:r>
        <w:t xml:space="preserve"> pro průjezd nákladního vozidla nad 12 tun nebo i jiná povolení a zhotovitel</w:t>
      </w:r>
      <w:r w:rsidR="003B1DCF">
        <w:t xml:space="preserve"> tato</w:t>
      </w:r>
      <w:r>
        <w:t xml:space="preserve"> povolení přes veškeré vynaložené úsilí nezískal, nelze považovat neči</w:t>
      </w:r>
      <w:r w:rsidR="003B1DCF">
        <w:t>nnost</w:t>
      </w:r>
      <w:r>
        <w:t xml:space="preserve"> zhotovitele v neposkytnutí služeb za prodlení v plnění dle této smlouvy a vyža</w:t>
      </w:r>
      <w:r w:rsidR="003B1DCF">
        <w:t>dovat</w:t>
      </w:r>
      <w:r>
        <w:t xml:space="preserve"> náhradu jakékoli škody.</w:t>
      </w:r>
    </w:p>
    <w:p w14:paraId="0E061CBA" w14:textId="5EDE3133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19"/>
        </w:tabs>
        <w:jc w:val="both"/>
      </w:pPr>
      <w:r>
        <w:t>Zhotovitel je oprávněn kontrolovat shodnost kvality odpadu, dle kat</w:t>
      </w:r>
      <w:r w:rsidR="007D476A">
        <w:t>alogu</w:t>
      </w:r>
      <w:r>
        <w:t xml:space="preserve"> odpadů, jeho fyzikální, biologické a chemické vlastnosti, jak při sběru, tak bě</w:t>
      </w:r>
      <w:r w:rsidR="007D476A">
        <w:t>hem</w:t>
      </w:r>
      <w:r>
        <w:t xml:space="preserve"> přepravy. V případě, že odpad není vhodný, zhotovitel odmítne tento odpad př</w:t>
      </w:r>
      <w:r w:rsidR="007D476A">
        <w:t>evzít</w:t>
      </w:r>
      <w:r>
        <w:t xml:space="preserve"> nebo jej vrátí objednateli na jeho náklady. Pro účely této smlouvy je za nevh</w:t>
      </w:r>
      <w:r w:rsidR="007D476A">
        <w:t>odný</w:t>
      </w:r>
      <w:r>
        <w:t xml:space="preserve"> odpad považován odpad, který není uveden v odst. 3.6 a v </w:t>
      </w:r>
      <w:r>
        <w:rPr>
          <w:b/>
          <w:bCs/>
        </w:rPr>
        <w:t xml:space="preserve">příloze č. 1 </w:t>
      </w:r>
      <w:r>
        <w:t>této sm</w:t>
      </w:r>
      <w:r w:rsidR="007D476A">
        <w:t>louvy.</w:t>
      </w:r>
    </w:p>
    <w:p w14:paraId="1B88C6EB" w14:textId="4DB2B983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19"/>
        </w:tabs>
        <w:jc w:val="both"/>
      </w:pPr>
      <w:r>
        <w:t>Skutečnost, že zhotovitel odmítne převzít nevhodný odpad od objedn</w:t>
      </w:r>
      <w:r w:rsidR="00EC2603">
        <w:t>atele</w:t>
      </w:r>
      <w:r>
        <w:t xml:space="preserve"> nebude považována za prodlení s poskytováním služeb dle této smlouvy.</w:t>
      </w:r>
    </w:p>
    <w:p w14:paraId="6943D373" w14:textId="41B4CDC4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19"/>
        </w:tabs>
        <w:jc w:val="both"/>
      </w:pPr>
      <w:r>
        <w:t>V případě, že bude po odebrání odpadu zjištěna jeho nevhodnost, zhot</w:t>
      </w:r>
      <w:r w:rsidR="00EC2603">
        <w:t>ovitel</w:t>
      </w:r>
      <w:r>
        <w:t xml:space="preserve"> požádá objednatele bez zbytečného prodlení, aby zajistil přepravu takového od</w:t>
      </w:r>
      <w:r w:rsidR="00EC2603">
        <w:t>padu</w:t>
      </w:r>
      <w:r>
        <w:t xml:space="preserve"> na místo určení, na jeho vlastní náklady a bez zbytečného prodlení. Pokud b</w:t>
      </w:r>
      <w:r w:rsidR="00EC2603">
        <w:t>y tak</w:t>
      </w:r>
      <w:r>
        <w:t xml:space="preserve"> objednatel neučiní nejpozději za tři dny od vyzvání, zhotovitel z</w:t>
      </w:r>
      <w:r w:rsidR="00EC2603">
        <w:t>ajistí</w:t>
      </w:r>
      <w:r>
        <w:t xml:space="preserve"> odstranění/využití nevhodného odpadu bez souhlasu objednatele a na jeho nákl</w:t>
      </w:r>
      <w:r w:rsidR="00EC2603">
        <w:t>ady.</w:t>
      </w:r>
    </w:p>
    <w:p w14:paraId="6A13D7D0" w14:textId="36E026F5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19"/>
        </w:tabs>
        <w:jc w:val="both"/>
      </w:pPr>
      <w:r>
        <w:t>V případě, že objednatel umístí více druhů odpadu do jednoho sběrné ná</w:t>
      </w:r>
      <w:r w:rsidR="00381469">
        <w:t>doby</w:t>
      </w:r>
      <w:r>
        <w:t xml:space="preserve"> (více katalogových čísel odpadu), ručí za to, že jednotlivé druhy odpadu neb</w:t>
      </w:r>
      <w:r w:rsidR="00381469">
        <w:t>udou</w:t>
      </w:r>
      <w:r>
        <w:t xml:space="preserve"> vzájemně chemicky ani žádným jiným způsobem reagovat. Všechny případné </w:t>
      </w:r>
      <w:r w:rsidR="00381469">
        <w:t>škody</w:t>
      </w:r>
      <w:r>
        <w:t xml:space="preserve"> vzniklé nakládáním s tímto typem odpadu bude hradit objednatel.</w:t>
      </w:r>
    </w:p>
    <w:p w14:paraId="164B3C21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20"/>
        </w:tabs>
        <w:jc w:val="both"/>
      </w:pPr>
      <w:r>
        <w:t>v případě, že objednatel odpad uloží a smíchá, musí vlastnit a zhotoviteli předložit souhlas k upuštění od odděleného soustřeďování odpadů ve shodě s § 30, zákona o odpadech.</w:t>
      </w:r>
    </w:p>
    <w:p w14:paraId="5F4E713D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20"/>
        </w:tabs>
        <w:jc w:val="both"/>
      </w:pPr>
      <w:r>
        <w:t>Objednatel poskytne zhotoviteli řádným způsobem a včas veškeré nezbytné informace týkající se předmětu smlouvy, bez kterých by zhotovitel nebyl schopen poskytovat služby v této smlouvě definované.</w:t>
      </w:r>
    </w:p>
    <w:p w14:paraId="5F5B144A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20"/>
        </w:tabs>
        <w:jc w:val="both"/>
      </w:pPr>
      <w:r>
        <w:t>Objednatel musí umožnit zaměstnancům zhotovitele vstup do objektu způsobem, který mu umožní řádným a včasným způsobem plnit smlouvu.</w:t>
      </w:r>
    </w:p>
    <w:p w14:paraId="442640A3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20"/>
        </w:tabs>
        <w:spacing w:line="283" w:lineRule="auto"/>
        <w:jc w:val="both"/>
      </w:pPr>
      <w:r>
        <w:t>Objednatel musí předat zhotoviteli veškeré interní předpisy týkající se činností, které představují předmět této smlouvy.</w:t>
      </w:r>
    </w:p>
    <w:p w14:paraId="0A8A7A52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20"/>
        </w:tabs>
        <w:jc w:val="both"/>
      </w:pPr>
      <w:r>
        <w:t>Zhotovitel bude dokumenty, které je povinen uchovávat, archivovat po dobu stanovenou v zákoně o odpadech.</w:t>
      </w:r>
    </w:p>
    <w:p w14:paraId="7D834BBD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20"/>
        </w:tabs>
        <w:spacing w:after="720"/>
        <w:jc w:val="both"/>
      </w:pPr>
      <w:r>
        <w:lastRenderedPageBreak/>
        <w:t>Zhotovitel poskytne objednateli podklady za provedené služby pro zpracování ročního hlášení za příslušný kalendářní rok, nejpozději do 10.2. následujícího kalendářního roku.</w:t>
      </w:r>
    </w:p>
    <w:p w14:paraId="30FD9B74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jc w:val="both"/>
      </w:pPr>
      <w:bookmarkStart w:id="19" w:name="bookmark19"/>
      <w:bookmarkStart w:id="20" w:name="bookmark20"/>
      <w:bookmarkStart w:id="21" w:name="bookmark21"/>
      <w:r>
        <w:t>Spolupráce</w:t>
      </w:r>
      <w:bookmarkEnd w:id="19"/>
      <w:bookmarkEnd w:id="20"/>
      <w:bookmarkEnd w:id="21"/>
    </w:p>
    <w:p w14:paraId="0C418C7B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5"/>
        </w:tabs>
        <w:spacing w:line="283" w:lineRule="auto"/>
        <w:jc w:val="both"/>
      </w:pPr>
      <w:r>
        <w:t>Objednatel bude zhotovitele okamžitě informovat o změnách původních vlastností a kvality odpadu.</w:t>
      </w:r>
    </w:p>
    <w:p w14:paraId="49B70E45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5"/>
        </w:tabs>
        <w:spacing w:line="288" w:lineRule="auto"/>
        <w:jc w:val="both"/>
      </w:pPr>
      <w:r>
        <w:t>Objednatel bude nakládat odpad do poskytnutých kontejnerů/ přepravních jednotek na vlastní náklady.</w:t>
      </w:r>
    </w:p>
    <w:p w14:paraId="0EAB40C4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5"/>
        </w:tabs>
        <w:spacing w:after="500" w:line="240" w:lineRule="auto"/>
        <w:jc w:val="both"/>
      </w:pPr>
      <w:r>
        <w:t>Objednatel upozorňuje, že počty nádob a četnosti svozů se v průběhu plnění případné Smlouvy mohou měnit v závislosti na potřebách objednatele.</w:t>
      </w:r>
    </w:p>
    <w:p w14:paraId="5AE04E8E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342"/>
        </w:tabs>
        <w:jc w:val="both"/>
      </w:pPr>
      <w:bookmarkStart w:id="22" w:name="bookmark22"/>
      <w:bookmarkStart w:id="23" w:name="bookmark23"/>
      <w:bookmarkStart w:id="24" w:name="bookmark24"/>
      <w:r>
        <w:t>Obchodní tajemství</w:t>
      </w:r>
      <w:bookmarkEnd w:id="22"/>
      <w:bookmarkEnd w:id="23"/>
      <w:bookmarkEnd w:id="24"/>
    </w:p>
    <w:p w14:paraId="6A3295FE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5"/>
        </w:tabs>
        <w:jc w:val="both"/>
      </w:pPr>
      <w:r>
        <w:t>Smluvní strany souhlasí, že všechny informace, které během vzájemného jednání získají o podnikání a technických záležitostech druhé strany, budou považovány za obchodní tajemství (ve smyslu právních předpisů) a nesmějí být prozrazeny třetím osobám, a to ani po skončení platnosti této smlouvy.</w:t>
      </w:r>
    </w:p>
    <w:p w14:paraId="31B12D81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5"/>
        </w:tabs>
        <w:jc w:val="both"/>
      </w:pPr>
      <w:r>
        <w:t>Zhotovitel bude za obchodní tajemství považovat i objednávky a obchodní i technické specifikace týkající se předmětu smlouvy.</w:t>
      </w:r>
    </w:p>
    <w:p w14:paraId="752B8DD8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408"/>
        </w:tabs>
        <w:jc w:val="both"/>
      </w:pPr>
      <w:bookmarkStart w:id="25" w:name="bookmark25"/>
      <w:bookmarkStart w:id="26" w:name="bookmark26"/>
      <w:bookmarkStart w:id="27" w:name="bookmark27"/>
      <w:r>
        <w:t>Odpovědnost</w:t>
      </w:r>
      <w:bookmarkEnd w:id="25"/>
      <w:bookmarkEnd w:id="26"/>
      <w:bookmarkEnd w:id="27"/>
    </w:p>
    <w:p w14:paraId="22ED8B76" w14:textId="00D2FCE8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9"/>
        </w:tabs>
        <w:spacing w:after="520"/>
        <w:jc w:val="both"/>
      </w:pPr>
      <w:r>
        <w:t>Zhotovitel přejímá odpovědnost za nakládání s odpadem v okamžiku fyzick</w:t>
      </w:r>
      <w:r w:rsidR="0018569B">
        <w:t>ého</w:t>
      </w:r>
      <w:r>
        <w:t xml:space="preserve"> odebrání odpadu zaměstnancem zhotovitele na stanoveném místě na zák</w:t>
      </w:r>
      <w:r w:rsidR="0018569B">
        <w:t>ladě</w:t>
      </w:r>
      <w:r>
        <w:t xml:space="preserve"> podkladové dokumentace, včetně odpovědnosti za všechny škody vzn</w:t>
      </w:r>
      <w:r w:rsidR="0018569B">
        <w:t>iklé</w:t>
      </w:r>
      <w:r>
        <w:t xml:space="preserve"> v souvislosti s nakládáním s odpady. Zhotovitel může být zproštěn odpovědn</w:t>
      </w:r>
      <w:r w:rsidR="0018569B">
        <w:t>osti</w:t>
      </w:r>
      <w:r>
        <w:t xml:space="preserve"> pouze v případě, že je schopen prokázat, že škodu nezpůsobil.</w:t>
      </w:r>
    </w:p>
    <w:p w14:paraId="0E0BE83D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559"/>
        </w:tabs>
        <w:spacing w:after="0"/>
        <w:jc w:val="both"/>
      </w:pPr>
      <w:bookmarkStart w:id="28" w:name="bookmark28"/>
      <w:bookmarkStart w:id="29" w:name="bookmark29"/>
      <w:bookmarkStart w:id="30" w:name="bookmark30"/>
      <w:r>
        <w:t>Zpracování osobních údajů</w:t>
      </w:r>
      <w:bookmarkEnd w:id="28"/>
      <w:bookmarkEnd w:id="29"/>
      <w:bookmarkEnd w:id="30"/>
    </w:p>
    <w:p w14:paraId="79D932BD" w14:textId="6A2A9CB4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9"/>
        </w:tabs>
        <w:spacing w:after="0"/>
        <w:jc w:val="both"/>
      </w:pPr>
      <w:r>
        <w:t>Objednatel bere na vědomí, že Zhotovitel jako správce údajů zpracov</w:t>
      </w:r>
      <w:r w:rsidR="00073212">
        <w:t>ává</w:t>
      </w:r>
      <w:r>
        <w:t xml:space="preserve"> osobní údaje uvedené v záhlaví Smlouvy pro účely splnění této Smlouvy. Zpraco</w:t>
      </w:r>
      <w:r w:rsidR="00073212">
        <w:t>vání</w:t>
      </w:r>
      <w:r>
        <w:t xml:space="preserve"> osobních údajů pro tento účel je nezbytné k uzavření a plnění této Smlouv</w:t>
      </w:r>
      <w:r w:rsidR="00073212">
        <w:t>y a</w:t>
      </w:r>
      <w:r>
        <w:t xml:space="preserve"> nevyžaduje souhlas Objednatele. Zhotovitel jako správce údajů dále zpracov</w:t>
      </w:r>
      <w:r w:rsidR="00073212">
        <w:t>ává</w:t>
      </w:r>
      <w:r>
        <w:t xml:space="preserve"> osobní údaje uvedené v záhlaví Smlouvy pro účely svých oprávněných zá</w:t>
      </w:r>
      <w:r w:rsidR="00073212">
        <w:t>jmů</w:t>
      </w:r>
      <w:r>
        <w:t xml:space="preserve"> (zejména pro účely vymáhání práv z této Smlouvy a vytváření interních </w:t>
      </w:r>
      <w:proofErr w:type="spellStart"/>
      <w:r w:rsidR="00077811">
        <w:rPr>
          <w:lang w:val="en-US" w:eastAsia="en-US" w:bidi="en-US"/>
        </w:rPr>
        <w:t>s</w:t>
      </w:r>
      <w:r w:rsidR="005A0432">
        <w:rPr>
          <w:lang w:val="en-US" w:eastAsia="en-US" w:bidi="en-US"/>
        </w:rPr>
        <w:t>tatistik</w:t>
      </w:r>
      <w:proofErr w:type="spellEnd"/>
      <w:r>
        <w:rPr>
          <w:lang w:val="en-US" w:eastAsia="en-US" w:bidi="en-US"/>
        </w:rPr>
        <w:t xml:space="preserve"> </w:t>
      </w:r>
      <w:r>
        <w:t>reportů). Zpracování osobních údajů pro tento účel je nezbytné pro ú</w:t>
      </w:r>
      <w:r w:rsidR="00073212">
        <w:t>čely</w:t>
      </w:r>
      <w:r>
        <w:t xml:space="preserve"> oprávněných zájmů Zhotovitele a nevyžaduje souhlas Objednatele.</w:t>
      </w:r>
    </w:p>
    <w:p w14:paraId="1C7C80E9" w14:textId="024663DD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96"/>
        </w:tabs>
        <w:spacing w:after="0"/>
        <w:jc w:val="both"/>
      </w:pPr>
      <w:r>
        <w:t>Zhotovitel může pověřit zpracováním osobních údajů za výše uvedenými ú</w:t>
      </w:r>
      <w:r w:rsidR="00077811">
        <w:t xml:space="preserve">čely </w:t>
      </w:r>
      <w:r>
        <w:t>třetí osoby (zpracovatele), a to zejména osoby, které tvoří se Zhotov</w:t>
      </w:r>
      <w:r w:rsidR="00077811">
        <w:t>itelem</w:t>
      </w:r>
      <w:r>
        <w:t xml:space="preserve"> podnikatelskou skupinu FCC, obchodní partnery nebo osoby provádějící právn</w:t>
      </w:r>
      <w:r w:rsidR="00077811">
        <w:t>í či</w:t>
      </w:r>
      <w:r>
        <w:t xml:space="preserve"> ekonomický audit.</w:t>
      </w:r>
    </w:p>
    <w:p w14:paraId="6F6A350C" w14:textId="211CA5EE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606"/>
        </w:tabs>
        <w:spacing w:after="0"/>
        <w:jc w:val="both"/>
      </w:pPr>
      <w:r>
        <w:t>Zhotovitel bude osobní údaje zpracovávat po dobu trvání této Smlouvy a</w:t>
      </w:r>
      <w:r w:rsidR="006E43DC">
        <w:t xml:space="preserve"> po</w:t>
      </w:r>
      <w:r>
        <w:t xml:space="preserve"> jejím ukončení nejméně po dobu 3 let ode dne ukončení Smlouvy, resp. po d</w:t>
      </w:r>
      <w:r w:rsidR="006E43DC">
        <w:t>obu</w:t>
      </w:r>
      <w:r>
        <w:t xml:space="preserve"> stanovenou příslušnými právní předpisy anebo po dobu nezbytnou k výše uvede</w:t>
      </w:r>
      <w:r w:rsidR="006E43DC">
        <w:t>n</w:t>
      </w:r>
      <w:r w:rsidR="008F4C0B">
        <w:t>ý</w:t>
      </w:r>
      <w:r w:rsidR="006E43DC">
        <w:t>m</w:t>
      </w:r>
      <w:r>
        <w:t xml:space="preserve"> účelům zpracování osobních údajů.</w:t>
      </w:r>
    </w:p>
    <w:p w14:paraId="5881F55C" w14:textId="4AE82B5C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86"/>
        </w:tabs>
        <w:spacing w:after="0"/>
        <w:jc w:val="both"/>
      </w:pPr>
      <w:r>
        <w:t>Objednatel má následující práva v souvislosti se zpracováním osobních úd</w:t>
      </w:r>
      <w:r w:rsidR="008F4C0B">
        <w:t>ajů:</w:t>
      </w:r>
      <w:r>
        <w:t xml:space="preserve"> právo požadovat přístup k osobním údajům a informacím o jejich zpracování, pr</w:t>
      </w:r>
      <w:r w:rsidR="005A0432">
        <w:t>ávo</w:t>
      </w:r>
      <w:r>
        <w:t xml:space="preserve"> na opravu nebo výmaz osobních údajů, právo na omezení zpracování</w:t>
      </w:r>
      <w:r w:rsidR="005A0432">
        <w:t>,</w:t>
      </w:r>
      <w:r>
        <w:t xml:space="preserve"> právo</w:t>
      </w:r>
      <w:r w:rsidR="005A0432">
        <w:t xml:space="preserve"> na</w:t>
      </w:r>
      <w:r>
        <w:t xml:space="preserve"> přenositelnost údajů, právo vznést námitku </w:t>
      </w:r>
      <w:r>
        <w:lastRenderedPageBreak/>
        <w:t>proti zpracování údajů a právo p</w:t>
      </w:r>
      <w:r w:rsidR="005A0432">
        <w:t>odat</w:t>
      </w:r>
      <w:r>
        <w:t xml:space="preserve"> stížnost proti zpracování údajů u dozorového úřadu (Úřadu pro ochranu osob</w:t>
      </w:r>
      <w:r w:rsidR="005A0432">
        <w:t>ních</w:t>
      </w:r>
      <w:r>
        <w:t xml:space="preserve"> údajů ČR, se sídlem Pp</w:t>
      </w:r>
      <w:r w:rsidR="005A0432">
        <w:t>l</w:t>
      </w:r>
      <w:r>
        <w:t>k. Sochora 27, 170 00, Praha 7).</w:t>
      </w:r>
    </w:p>
    <w:p w14:paraId="0CAEA8C3" w14:textId="398DF1A2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91"/>
        </w:tabs>
        <w:spacing w:after="300"/>
        <w:jc w:val="both"/>
      </w:pPr>
      <w:r>
        <w:t>Podrobnější informace o zpracování osobních údajů mohou být Objedn</w:t>
      </w:r>
      <w:r w:rsidR="005A0432">
        <w:t>avateli</w:t>
      </w:r>
      <w:r>
        <w:t xml:space="preserve"> sděleny na jeho žádost zaslanou na kontaktní adresu Zhotovitele uvedenou v záh</w:t>
      </w:r>
      <w:r w:rsidR="005A0432">
        <w:t>laví</w:t>
      </w:r>
      <w:r>
        <w:t xml:space="preserve"> Smlouvy.</w:t>
      </w:r>
    </w:p>
    <w:p w14:paraId="238CE841" w14:textId="77777777" w:rsidR="00BB34CB" w:rsidRDefault="00F97DC8">
      <w:pPr>
        <w:pStyle w:val="Style22"/>
        <w:keepNext/>
        <w:keepLines/>
        <w:numPr>
          <w:ilvl w:val="0"/>
          <w:numId w:val="1"/>
        </w:numPr>
        <w:shd w:val="clear" w:color="auto" w:fill="auto"/>
        <w:tabs>
          <w:tab w:val="left" w:pos="559"/>
        </w:tabs>
        <w:spacing w:after="0"/>
        <w:jc w:val="both"/>
      </w:pPr>
      <w:bookmarkStart w:id="31" w:name="bookmark31"/>
      <w:bookmarkStart w:id="32" w:name="bookmark32"/>
      <w:bookmarkStart w:id="33" w:name="bookmark33"/>
      <w:r>
        <w:t>Závěrečná ujednání</w:t>
      </w:r>
      <w:bookmarkEnd w:id="31"/>
      <w:bookmarkEnd w:id="32"/>
      <w:bookmarkEnd w:id="33"/>
    </w:p>
    <w:p w14:paraId="6FB6CDEB" w14:textId="32F435A4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59"/>
        </w:tabs>
        <w:spacing w:after="0"/>
        <w:jc w:val="both"/>
      </w:pPr>
      <w:r>
        <w:t>Právní vztahy touto Smlouvou neupravené se řídí obecně závaznými práv</w:t>
      </w:r>
      <w:r w:rsidR="003E28F5">
        <w:t>ními</w:t>
      </w:r>
      <w:r>
        <w:t xml:space="preserve"> předpisy, zejména Občanským zákoníkem.</w:t>
      </w:r>
    </w:p>
    <w:p w14:paraId="3BAD30B7" w14:textId="77777777" w:rsidR="00BB34CB" w:rsidRDefault="00F97DC8">
      <w:pPr>
        <w:pStyle w:val="Style5"/>
        <w:numPr>
          <w:ilvl w:val="1"/>
          <w:numId w:val="1"/>
        </w:numPr>
        <w:shd w:val="clear" w:color="auto" w:fill="auto"/>
        <w:tabs>
          <w:tab w:val="left" w:pos="591"/>
        </w:tabs>
        <w:spacing w:after="300"/>
        <w:jc w:val="both"/>
      </w:pPr>
      <w:r>
        <w:t>Tuto Smlouvu lze změnit pouze písemnými dodatky, podepsanými oprávněn</w:t>
      </w:r>
      <w:r w:rsidR="003E28F5">
        <w:t>ými</w:t>
      </w:r>
      <w:r>
        <w:t xml:space="preserve"> zástupci obou Smluvních stran. Zhotovitel v souladu s § 1758 Občanského záko</w:t>
      </w:r>
      <w:r w:rsidR="003E28F5">
        <w:t>níku</w:t>
      </w:r>
      <w:r>
        <w:t xml:space="preserve"> projevuje vůli, aby Smlouva navržená v této listině byla uzavřena pouze v píse</w:t>
      </w:r>
      <w:r w:rsidR="003E28F5">
        <w:t>mné</w:t>
      </w:r>
      <w:r>
        <w:t xml:space="preserve"> formě.</w:t>
      </w:r>
    </w:p>
    <w:p w14:paraId="77A39AD3" w14:textId="77777777" w:rsidR="00604F37" w:rsidRDefault="00604F37" w:rsidP="00604F37">
      <w:pPr>
        <w:pStyle w:val="Style5"/>
        <w:shd w:val="clear" w:color="auto" w:fill="auto"/>
        <w:tabs>
          <w:tab w:val="left" w:pos="591"/>
        </w:tabs>
        <w:spacing w:after="300"/>
        <w:jc w:val="both"/>
      </w:pPr>
    </w:p>
    <w:p w14:paraId="53069513" w14:textId="5944ABAB" w:rsidR="00604F37" w:rsidRDefault="00604F37" w:rsidP="00604F37">
      <w:pPr>
        <w:pStyle w:val="Style5"/>
        <w:shd w:val="clear" w:color="auto" w:fill="auto"/>
        <w:tabs>
          <w:tab w:val="left" w:pos="591"/>
        </w:tabs>
        <w:spacing w:after="300"/>
        <w:jc w:val="both"/>
        <w:sectPr w:rsidR="00604F37">
          <w:footerReference w:type="even" r:id="rId12"/>
          <w:footerReference w:type="default" r:id="rId13"/>
          <w:footerReference w:type="first" r:id="rId14"/>
          <w:pgSz w:w="11909" w:h="16834"/>
          <w:pgMar w:top="999" w:right="1082" w:bottom="1677" w:left="1581" w:header="0" w:footer="3" w:gutter="0"/>
          <w:cols w:space="720"/>
          <w:noEndnote/>
          <w:titlePg/>
          <w:docGrid w:linePitch="360"/>
        </w:sectPr>
      </w:pPr>
      <w:r>
        <w:t>11.3. Tato  Smlouva je vyhotovena ve čtyřech stejnopisech, z nichž každá Smluvní strana obdrží po dvou vyhotovení.</w:t>
      </w:r>
    </w:p>
    <w:p w14:paraId="3E91D88A" w14:textId="77777777" w:rsidR="00BB34CB" w:rsidRDefault="00F97DC8">
      <w:pPr>
        <w:pStyle w:val="Style5"/>
        <w:numPr>
          <w:ilvl w:val="0"/>
          <w:numId w:val="8"/>
        </w:numPr>
        <w:shd w:val="clear" w:color="auto" w:fill="auto"/>
        <w:tabs>
          <w:tab w:val="left" w:pos="646"/>
        </w:tabs>
        <w:spacing w:after="0"/>
        <w:jc w:val="both"/>
      </w:pPr>
      <w:r>
        <w:lastRenderedPageBreak/>
        <w:t>Tato Smlouva nabývá platnosti po podepsání oběma smluvními stranami a účinnosti dnem zveřejnění v registru smluv.</w:t>
      </w:r>
    </w:p>
    <w:p w14:paraId="7C2CE96A" w14:textId="77777777" w:rsidR="00BB34CB" w:rsidRDefault="00F97DC8">
      <w:pPr>
        <w:pStyle w:val="Style5"/>
        <w:numPr>
          <w:ilvl w:val="0"/>
          <w:numId w:val="8"/>
        </w:numPr>
        <w:shd w:val="clear" w:color="auto" w:fill="auto"/>
        <w:tabs>
          <w:tab w:val="left" w:pos="670"/>
        </w:tabs>
        <w:spacing w:after="820"/>
        <w:jc w:val="both"/>
      </w:pPr>
      <w:r>
        <w:t>Smluvní strany v souladu s § 1801 Občanského zákoníku sjednávají, že na jejich vzájemné vztahy založené touto Smlouvou nebo s touto Smlouvou související se nepoužijí § 1799, 1800 a 2559 Občanského zákoníku.</w:t>
      </w:r>
    </w:p>
    <w:p w14:paraId="62038C0E" w14:textId="77777777" w:rsidR="00BB34CB" w:rsidRDefault="00F97DC8">
      <w:pPr>
        <w:pStyle w:val="Style22"/>
        <w:keepNext/>
        <w:keepLines/>
        <w:shd w:val="clear" w:color="auto" w:fill="auto"/>
        <w:spacing w:after="240" w:line="240" w:lineRule="auto"/>
        <w:jc w:val="both"/>
      </w:pPr>
      <w:bookmarkStart w:id="34" w:name="bookmark34"/>
      <w:bookmarkStart w:id="35" w:name="bookmark35"/>
      <w:bookmarkStart w:id="36" w:name="bookmark36"/>
      <w:r>
        <w:t>Přílohy smlouvy:</w:t>
      </w:r>
      <w:bookmarkEnd w:id="34"/>
      <w:bookmarkEnd w:id="35"/>
      <w:bookmarkEnd w:id="36"/>
    </w:p>
    <w:p w14:paraId="3D20DB5D" w14:textId="77777777" w:rsidR="00BB34CB" w:rsidRDefault="00F97DC8">
      <w:pPr>
        <w:pStyle w:val="Style5"/>
        <w:shd w:val="clear" w:color="auto" w:fill="auto"/>
        <w:spacing w:after="240" w:line="240" w:lineRule="auto"/>
        <w:ind w:firstLine="380"/>
      </w:pPr>
      <w:r>
        <w:t>Příloha Č.1 - Specifikace rozsahu plnění služby pro část 2) Litoměřice a okolí</w:t>
      </w:r>
    </w:p>
    <w:p w14:paraId="308C564D" w14:textId="77777777" w:rsidR="00BB34CB" w:rsidRDefault="00F97DC8">
      <w:pPr>
        <w:pStyle w:val="Style5"/>
        <w:shd w:val="clear" w:color="auto" w:fill="auto"/>
        <w:spacing w:after="720" w:line="240" w:lineRule="auto"/>
        <w:ind w:firstLine="380"/>
      </w:pPr>
      <w:r>
        <w:t>Příloha č. 2 - Seznam poddodavatelů</w:t>
      </w:r>
    </w:p>
    <w:p w14:paraId="12D7A7CF" w14:textId="63809D15" w:rsidR="00BB34CB" w:rsidRDefault="00F97DC8">
      <w:pPr>
        <w:pStyle w:val="Style5"/>
        <w:shd w:val="clear" w:color="auto" w:fill="auto"/>
        <w:tabs>
          <w:tab w:val="left" w:pos="4325"/>
          <w:tab w:val="left" w:pos="5840"/>
          <w:tab w:val="left" w:pos="7200"/>
        </w:tabs>
        <w:spacing w:after="560" w:line="240" w:lineRule="auto"/>
      </w:pPr>
      <w:r>
        <w:t xml:space="preserve">V Praze dne </w:t>
      </w:r>
      <w:r w:rsidR="0076470B">
        <w:rPr>
          <w:u w:val="single"/>
        </w:rPr>
        <w:t>__________</w:t>
      </w:r>
      <w:r>
        <w:tab/>
        <w:t>v Praze dne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4D6FE3" w14:textId="1F5E4D9D" w:rsidR="00BB34CB" w:rsidRDefault="00F97DC8">
      <w:pPr>
        <w:pStyle w:val="Style5"/>
        <w:shd w:val="clear" w:color="auto" w:fill="auto"/>
        <w:tabs>
          <w:tab w:val="left" w:pos="4325"/>
        </w:tabs>
        <w:spacing w:after="560" w:line="240" w:lineRule="auto"/>
      </w:pPr>
      <w:r>
        <w:rPr>
          <w:noProof/>
        </w:rPr>
        <mc:AlternateContent>
          <mc:Choice Requires="wps">
            <w:drawing>
              <wp:anchor distT="484505" distB="0" distL="114300" distR="242570" simplePos="0" relativeHeight="125829381" behindDoc="0" locked="0" layoutInCell="1" allowOverlap="1" wp14:anchorId="52207D93" wp14:editId="7FD43621">
                <wp:simplePos x="0" y="0"/>
                <wp:positionH relativeFrom="page">
                  <wp:posOffset>3791585</wp:posOffset>
                </wp:positionH>
                <wp:positionV relativeFrom="paragraph">
                  <wp:posOffset>1030605</wp:posOffset>
                </wp:positionV>
                <wp:extent cx="1566545" cy="19494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5CD87E" w14:textId="77777777" w:rsidR="00BB34CB" w:rsidRDefault="00F97DC8">
                            <w:pPr>
                              <w:pStyle w:val="Style5"/>
                              <w:shd w:val="clear" w:color="auto" w:fill="auto"/>
                              <w:spacing w:after="0" w:line="240" w:lineRule="auto"/>
                            </w:pPr>
                            <w:r>
                              <w:t>Ing. Pavla Chmelařové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2207D93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margin-left:298.55pt;margin-top:81.15pt;width:123.35pt;height:15.35pt;z-index:125829381;visibility:visible;mso-wrap-style:none;mso-wrap-distance-left:9pt;mso-wrap-distance-top:38.15pt;mso-wrap-distance-right:19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hTiwEAABEDAAAOAAAAZHJzL2Uyb0RvYy54bWysUsFOwzAMvSPxD1HurNu0DajWTkLTEBIC&#10;pMEHpGmyRmriKAlr9/c42bohuCEuiWM7z8/PXq563ZK9cF6BKehkNKZEGA61MruCfrxvbu4o8YGZ&#10;mrVgREEPwtNVeX217GwuptBAWwtHEMT4vLMFbUKweZZ53gjN/AisMBiU4DQL+HS7rHasQ3TdZtPx&#10;eJF14GrrgAvv0bs+BmmZ8KUUPLxK6UUgbUGRW0inS2cVz6xcsnznmG0UP9Fgf2ChmTJY9Ay1ZoGR&#10;T6d+QWnFHXiQYcRBZyCl4iL1gN1Mxj+62TbMitQLiuPtWSb/f7D8Zf/miKpxdreUGKZxRqkswTeK&#10;01mfY87WYlboH6DHxMHv0Rl77qXT8cZuCMZR5sNZWtEHwuOn+WIxn80p4Rib3M/u0Ub47PLbOh8e&#10;BWgSjYI6HF1SlO2ffTimDimxmIGNatvojxSPVKIV+qo/9jPQrKA+IPsOh1xQg1tISftkUMO4D4Ph&#10;BqM6GQMy6p5onnYkDvb7O9W/bHL5BQAA//8DAFBLAwQUAAYACAAAACEAp8Wfl98AAAALAQAADwAA&#10;AGRycy9kb3ducmV2LnhtbEyPwU7DMBBE70j8g7VI3KidBkoa4lQIwZFKLVy4OfE2SRuvo9hpw9+z&#10;nOC4M0+zM8Vmdr044xg6TxqShQKBVHvbUaPh8+PtLgMRoiFrek+o4RsDbMrrq8Lk1l9oh+d9bASH&#10;UMiNhjbGIZcy1C06ExZ+QGLv4EdnIp9jI+1oLhzuerlUaiWd6Yg/tGbAlxbr035yGg7v29Pxddqp&#10;Y6My/EpGnKtkq/Xtzfz8BCLiHP9g+K3P1aHkTpWfyAbRa3hYPyaMsrFapiCYyO5THlOxsk4VyLKQ&#10;/zeUPwAAAP//AwBQSwECLQAUAAYACAAAACEAtoM4kv4AAADhAQAAEwAAAAAAAAAAAAAAAAAAAAAA&#10;W0NvbnRlbnRfVHlwZXNdLnhtbFBLAQItABQABgAIAAAAIQA4/SH/1gAAAJQBAAALAAAAAAAAAAAA&#10;AAAAAC8BAABfcmVscy8ucmVsc1BLAQItABQABgAIAAAAIQBjUEhTiwEAABEDAAAOAAAAAAAAAAAA&#10;AAAAAC4CAABkcnMvZTJvRG9jLnhtbFBLAQItABQABgAIAAAAIQCnxZ+X3wAAAAsBAAAPAAAAAAAA&#10;AAAAAAAAAOUDAABkcnMvZG93bnJldi54bWxQSwUGAAAAAAQABADzAAAA8QQAAAAA&#10;" filled="f" stroked="f">
                <v:textbox inset="0,0,0,0">
                  <w:txbxContent>
                    <w:p w14:paraId="255CD87E" w14:textId="77777777" w:rsidR="00BB34CB" w:rsidRDefault="00F97DC8">
                      <w:pPr>
                        <w:pStyle w:val="Style5"/>
                        <w:shd w:val="clear" w:color="auto" w:fill="auto"/>
                        <w:spacing w:after="0" w:line="240" w:lineRule="auto"/>
                      </w:pPr>
                      <w:r>
                        <w:t>Ing. Pavla Chmelařové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za NÁRODNÍ MUZEUM</w:t>
      </w:r>
      <w:r>
        <w:tab/>
        <w:t>za FCC Česká republika, s.r.o.</w:t>
      </w:r>
    </w:p>
    <w:p w14:paraId="13CA4071" w14:textId="77777777" w:rsidR="00BB34CB" w:rsidRDefault="00F97DC8" w:rsidP="0076470B">
      <w:pPr>
        <w:pStyle w:val="Style5"/>
        <w:shd w:val="clear" w:color="auto" w:fill="auto"/>
        <w:spacing w:before="660" w:after="420" w:line="240" w:lineRule="auto"/>
        <w:ind w:left="3540" w:firstLine="708"/>
      </w:pPr>
      <w:r>
        <w:t>na základě plné moci ze 17.5.2021</w:t>
      </w:r>
    </w:p>
    <w:p w14:paraId="478FD6F2" w14:textId="77777777" w:rsidR="0076470B" w:rsidRDefault="0076470B">
      <w:pPr>
        <w:pStyle w:val="Style12"/>
        <w:shd w:val="clear" w:color="auto" w:fill="auto"/>
        <w:spacing w:after="240" w:line="240" w:lineRule="auto"/>
        <w:rPr>
          <w:b/>
          <w:bCs/>
          <w:sz w:val="18"/>
          <w:szCs w:val="18"/>
        </w:rPr>
      </w:pPr>
    </w:p>
    <w:p w14:paraId="533BF5C4" w14:textId="77777777" w:rsidR="0076470B" w:rsidRDefault="0076470B">
      <w:pPr>
        <w:pStyle w:val="Style12"/>
        <w:shd w:val="clear" w:color="auto" w:fill="auto"/>
        <w:spacing w:after="240" w:line="240" w:lineRule="auto"/>
        <w:rPr>
          <w:b/>
          <w:bCs/>
          <w:sz w:val="18"/>
          <w:szCs w:val="18"/>
        </w:rPr>
      </w:pPr>
    </w:p>
    <w:p w14:paraId="260C1277" w14:textId="77777777" w:rsidR="0076470B" w:rsidRDefault="0076470B">
      <w:pPr>
        <w:pStyle w:val="Style12"/>
        <w:shd w:val="clear" w:color="auto" w:fill="auto"/>
        <w:spacing w:after="240" w:line="240" w:lineRule="auto"/>
        <w:rPr>
          <w:b/>
          <w:bCs/>
          <w:sz w:val="18"/>
          <w:szCs w:val="18"/>
        </w:rPr>
      </w:pPr>
    </w:p>
    <w:p w14:paraId="35E2A807" w14:textId="77777777" w:rsidR="0076470B" w:rsidRDefault="0076470B">
      <w:pPr>
        <w:pStyle w:val="Style12"/>
        <w:shd w:val="clear" w:color="auto" w:fill="auto"/>
        <w:spacing w:after="240" w:line="240" w:lineRule="auto"/>
        <w:rPr>
          <w:b/>
          <w:bCs/>
          <w:sz w:val="18"/>
          <w:szCs w:val="18"/>
        </w:rPr>
      </w:pPr>
    </w:p>
    <w:p w14:paraId="7B91FF8C" w14:textId="77777777" w:rsidR="0076470B" w:rsidRDefault="0076470B">
      <w:pPr>
        <w:pStyle w:val="Style12"/>
        <w:shd w:val="clear" w:color="auto" w:fill="auto"/>
        <w:spacing w:after="240" w:line="240" w:lineRule="auto"/>
        <w:rPr>
          <w:b/>
          <w:bCs/>
          <w:sz w:val="18"/>
          <w:szCs w:val="18"/>
        </w:rPr>
      </w:pPr>
    </w:p>
    <w:p w14:paraId="7D3384DC" w14:textId="5354E996" w:rsidR="00BB34CB" w:rsidRDefault="00F97DC8">
      <w:pPr>
        <w:pStyle w:val="Style12"/>
        <w:shd w:val="clear" w:color="auto" w:fill="auto"/>
        <w:spacing w:after="240" w:line="240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Příloha č. 1</w:t>
      </w:r>
    </w:p>
    <w:p w14:paraId="3C7CD921" w14:textId="77777777" w:rsidR="00BB34CB" w:rsidRDefault="00F97DC8">
      <w:pPr>
        <w:pStyle w:val="Style34"/>
        <w:shd w:val="clear" w:color="auto" w:fill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Svoz odpadu Národní muzeum</w:t>
      </w:r>
    </w:p>
    <w:p w14:paraId="1CA2AA1F" w14:textId="77777777" w:rsidR="00BB34CB" w:rsidRDefault="00F97DC8">
      <w:pPr>
        <w:pStyle w:val="Style34"/>
        <w:shd w:val="clear" w:color="auto" w:fill="auto"/>
        <w:spacing w:after="120" w:line="310" w:lineRule="auto"/>
        <w:jc w:val="both"/>
      </w:pPr>
      <w:r>
        <w:t>Vzdálenost Je měřena od Nové budovy Národního muzea, Vinohradská 1, Praha 1. Vzdálenosti mohou být ovlivněny dopravní situací na trase.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3638"/>
        <w:gridCol w:w="878"/>
        <w:gridCol w:w="1085"/>
        <w:gridCol w:w="1090"/>
        <w:gridCol w:w="1090"/>
        <w:gridCol w:w="1090"/>
        <w:gridCol w:w="1085"/>
        <w:gridCol w:w="1094"/>
        <w:gridCol w:w="1090"/>
        <w:gridCol w:w="1090"/>
        <w:gridCol w:w="1104"/>
      </w:tblGrid>
      <w:tr w:rsidR="00BB34CB" w14:paraId="0A891DAC" w14:textId="77777777">
        <w:trPr>
          <w:trHeight w:hRule="exact" w:val="427"/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76526A7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objekt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8A1C4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adresa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2D8E3" w14:textId="77777777" w:rsidR="00BB34CB" w:rsidRDefault="00F97DC8">
            <w:pPr>
              <w:pStyle w:val="Style18"/>
              <w:shd w:val="clear" w:color="auto" w:fill="auto"/>
              <w:spacing w:after="0" w:line="31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vzdálenost tam a zpět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73989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 1 směs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6F1AC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1201 papír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92101A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1201 plast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08D44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2401 směs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818B0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2401 papír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7C724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2401 plast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F9A8E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 1 směs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8F15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11001 papír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F291C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11001 plast</w:t>
            </w:r>
          </w:p>
        </w:tc>
      </w:tr>
      <w:tr w:rsidR="00BB34CB" w14:paraId="7BA518A1" w14:textId="77777777">
        <w:trPr>
          <w:trHeight w:hRule="exact" w:val="192"/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94404C2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Terezín 1.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765EF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Tyršova 207,411 55 Terezín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8E6B6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AFF46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FE463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49A080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F35FA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68BBD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BBC48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30234" w14:textId="13B2DA25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 xml:space="preserve">x za 14 </w:t>
            </w:r>
            <w:r>
              <w:rPr>
                <w:i/>
                <w:iCs/>
                <w:sz w:val="13"/>
                <w:szCs w:val="13"/>
              </w:rPr>
              <w:t>dní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5C08" w14:textId="00F40103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 za 14 dní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F8243" w14:textId="5CB7F535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xza 14 dní</w:t>
            </w:r>
          </w:p>
        </w:tc>
      </w:tr>
      <w:tr w:rsidR="00BB34CB" w14:paraId="6CCF92F9" w14:textId="77777777">
        <w:trPr>
          <w:trHeight w:hRule="exact" w:val="192"/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AEE5F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Terezín II.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B8991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Prokopa Holého 78,411 55 Terezín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D5937E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ind w:firstLine="60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8832F2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75683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ECF4F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3DCDF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D2252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45F4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7A9B40" w14:textId="4ED0F421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 za 14 dní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2B885" w14:textId="0618A0C4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 za 14 dní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8DB118" w14:textId="7DE88000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 za 14 dní</w:t>
            </w:r>
          </w:p>
        </w:tc>
      </w:tr>
      <w:tr w:rsidR="00BB34CB" w14:paraId="22160042" w14:textId="77777777">
        <w:trPr>
          <w:trHeight w:hRule="exact" w:val="197"/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464F9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Litoměřice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676A49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Kamýcká 5251/70,412 01 Litoměřice - Předměstí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6528B2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6F4A7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48927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E78E2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0362A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ACEB6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8F3DB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B00D4B" w14:textId="466EEFE5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 za 14 dní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AF64D" w14:textId="105E95A4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>x za 14 dní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C7ABC8" w14:textId="584DFF6E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r w:rsidR="00A44542">
              <w:rPr>
                <w:sz w:val="13"/>
                <w:szCs w:val="13"/>
              </w:rPr>
              <w:t>1</w:t>
            </w:r>
            <w:r>
              <w:rPr>
                <w:sz w:val="13"/>
                <w:szCs w:val="13"/>
              </w:rPr>
              <w:t xml:space="preserve">x za 14 </w:t>
            </w:r>
            <w:r>
              <w:rPr>
                <w:i/>
                <w:iCs/>
                <w:sz w:val="13"/>
                <w:szCs w:val="13"/>
              </w:rPr>
              <w:t>dní</w:t>
            </w:r>
          </w:p>
        </w:tc>
      </w:tr>
      <w:tr w:rsidR="00BB34CB" w14:paraId="56C102EA" w14:textId="77777777">
        <w:trPr>
          <w:trHeight w:hRule="exact" w:val="202"/>
          <w:jc w:val="center"/>
        </w:trPr>
        <w:tc>
          <w:tcPr>
            <w:tcW w:w="18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14AD55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Liběchov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A690C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Liběchov 39, 277 21 Liběchov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CE307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104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E4C13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94826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AC14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D33FAD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1/ </w:t>
            </w:r>
            <w:proofErr w:type="spellStart"/>
            <w:r>
              <w:rPr>
                <w:sz w:val="13"/>
                <w:szCs w:val="13"/>
              </w:rPr>
              <w:t>Ix</w:t>
            </w:r>
            <w:proofErr w:type="spellEnd"/>
            <w:r>
              <w:rPr>
                <w:sz w:val="13"/>
                <w:szCs w:val="13"/>
              </w:rPr>
              <w:t xml:space="preserve"> za 14 dnů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A377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20158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A6337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CEB15" w14:textId="77777777" w:rsidR="00BB34CB" w:rsidRDefault="00BB34CB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E33DA8" w14:textId="77777777" w:rsidR="00BB34CB" w:rsidRDefault="00BB34CB">
            <w:pPr>
              <w:rPr>
                <w:sz w:val="10"/>
                <w:szCs w:val="10"/>
              </w:rPr>
            </w:pPr>
          </w:p>
        </w:tc>
      </w:tr>
      <w:tr w:rsidR="00BB34CB" w14:paraId="78B6575B" w14:textId="77777777">
        <w:trPr>
          <w:trHeight w:hRule="exact" w:val="230"/>
          <w:jc w:val="center"/>
        </w:trPr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999D47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339791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346 242 Kč</w:t>
            </w:r>
          </w:p>
        </w:tc>
        <w:tc>
          <w:tcPr>
            <w:tcW w:w="10696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694C" w14:textId="77777777" w:rsidR="00BB34CB" w:rsidRDefault="00BB34CB">
            <w:pPr>
              <w:rPr>
                <w:sz w:val="10"/>
                <w:szCs w:val="10"/>
              </w:rPr>
            </w:pPr>
          </w:p>
        </w:tc>
      </w:tr>
    </w:tbl>
    <w:p w14:paraId="06423A98" w14:textId="77777777" w:rsidR="00BB34CB" w:rsidRDefault="00BB34CB">
      <w:pPr>
        <w:sectPr w:rsidR="00BB34CB">
          <w:footerReference w:type="even" r:id="rId15"/>
          <w:footerReference w:type="default" r:id="rId16"/>
          <w:pgSz w:w="16982" w:h="12115" w:orient="landscape"/>
          <w:pgMar w:top="1396" w:right="571" w:bottom="1396" w:left="221" w:header="968" w:footer="968" w:gutter="0"/>
          <w:cols w:space="720"/>
          <w:noEndnote/>
          <w:docGrid w:linePitch="360"/>
        </w:sectPr>
      </w:pPr>
    </w:p>
    <w:p w14:paraId="35CE8880" w14:textId="77777777" w:rsidR="00BB34CB" w:rsidRDefault="00F97DC8">
      <w:pPr>
        <w:pStyle w:val="Style39"/>
        <w:keepNext/>
        <w:keepLines/>
        <w:framePr w:w="1829" w:h="389" w:wrap="none" w:hAnchor="page" w:x="1324" w:y="1"/>
        <w:shd w:val="clear" w:color="auto" w:fill="auto"/>
        <w:jc w:val="both"/>
      </w:pPr>
      <w:bookmarkStart w:id="37" w:name="bookmark37"/>
      <w:bookmarkStart w:id="38" w:name="bookmark38"/>
      <w:bookmarkStart w:id="39" w:name="bookmark39"/>
      <w:r>
        <w:lastRenderedPageBreak/>
        <w:t>Příloha č. 2</w:t>
      </w:r>
      <w:bookmarkEnd w:id="37"/>
      <w:bookmarkEnd w:id="38"/>
      <w:bookmarkEnd w:id="39"/>
    </w:p>
    <w:p w14:paraId="4F576194" w14:textId="77777777" w:rsidR="00BB34CB" w:rsidRDefault="00BB34CB">
      <w:pPr>
        <w:spacing w:after="388" w:line="1" w:lineRule="exact"/>
      </w:pPr>
    </w:p>
    <w:p w14:paraId="664744C1" w14:textId="77777777" w:rsidR="00BB34CB" w:rsidRDefault="00BB34CB">
      <w:pPr>
        <w:spacing w:line="1" w:lineRule="exact"/>
        <w:sectPr w:rsidR="00BB34CB">
          <w:pgSz w:w="16915" w:h="12024" w:orient="landscape"/>
          <w:pgMar w:top="1085" w:right="1613" w:bottom="1095" w:left="1318" w:header="657" w:footer="667" w:gutter="0"/>
          <w:cols w:space="720"/>
          <w:noEndnote/>
          <w:docGrid w:linePitch="360"/>
        </w:sectPr>
      </w:pPr>
    </w:p>
    <w:p w14:paraId="57257FB8" w14:textId="77777777" w:rsidR="00BB34CB" w:rsidRDefault="00F97DC8">
      <w:pPr>
        <w:pStyle w:val="Style12"/>
        <w:shd w:val="clear" w:color="auto" w:fill="auto"/>
        <w:spacing w:after="280" w:line="240" w:lineRule="auto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SEZNAM PODDODAVATELŮ, KTEŘÍ SE BUDOU PODÍLET NA PLNĚNÍ VEŘEJNÉ ZAKÁZKY</w:t>
      </w:r>
    </w:p>
    <w:p w14:paraId="54A1AD5A" w14:textId="77777777" w:rsidR="00BB34CB" w:rsidRDefault="00F97DC8">
      <w:pPr>
        <w:pStyle w:val="Style12"/>
        <w:shd w:val="clear" w:color="auto" w:fill="auto"/>
        <w:spacing w:line="305" w:lineRule="auto"/>
        <w:jc w:val="center"/>
      </w:pPr>
      <w:r>
        <w:t xml:space="preserve">Pro účely podání nabídky do zadávacího řízení na veřejnou zakázku s názvem </w:t>
      </w:r>
      <w:r>
        <w:rPr>
          <w:b/>
          <w:bCs/>
          <w:sz w:val="18"/>
          <w:szCs w:val="18"/>
        </w:rPr>
        <w:t xml:space="preserve">„Odvoz a likvidace komunálního odpadu - opakované řízení", </w:t>
      </w:r>
      <w:r>
        <w:t>ev. č. ve</w:t>
      </w:r>
      <w:r>
        <w:br/>
        <w:t xml:space="preserve">Věstníku veřejných zakázek:Z2021-015885, vyhlášené zadavatelem </w:t>
      </w:r>
      <w:r>
        <w:rPr>
          <w:b/>
          <w:bCs/>
          <w:sz w:val="18"/>
          <w:szCs w:val="18"/>
        </w:rPr>
        <w:t xml:space="preserve">NÁRODNÍ MUZEUM, </w:t>
      </w:r>
      <w:r>
        <w:t>IČO; 000 23 272, se sídlem Václavské náměstí 68, 115 79 Praha 1.</w:t>
      </w:r>
    </w:p>
    <w:p w14:paraId="59844B08" w14:textId="77777777" w:rsidR="00BB34CB" w:rsidRDefault="00F97DC8">
      <w:pPr>
        <w:pStyle w:val="Style12"/>
        <w:shd w:val="clear" w:color="auto" w:fill="auto"/>
        <w:spacing w:line="319" w:lineRule="auto"/>
        <w:jc w:val="center"/>
      </w:pPr>
      <w:r>
        <w:rPr>
          <w:b/>
          <w:bCs/>
          <w:sz w:val="18"/>
          <w:szCs w:val="18"/>
        </w:rPr>
        <w:t>Čestné prohlášení</w:t>
      </w:r>
      <w:r>
        <w:rPr>
          <w:b/>
          <w:bCs/>
          <w:sz w:val="18"/>
          <w:szCs w:val="18"/>
        </w:rPr>
        <w:br/>
      </w:r>
      <w:r>
        <w:t>Účastník zadávacího řízení:</w:t>
      </w:r>
      <w:r>
        <w:br/>
        <w:t>obchodní firma ! jméno a příjmení: FCC Česká republika s. r. o.</w:t>
      </w:r>
      <w:r>
        <w:br/>
        <w:t>se sídlem ! trvale bytem; Ďáblická 791/89, 182 00 Praha 8 - Ďáblice</w:t>
      </w:r>
      <w:r>
        <w:br/>
        <w:t>IČO 45809712</w:t>
      </w:r>
      <w:r>
        <w:br/>
        <w:t>společnost zapsaná v obchodním rejstříku vedeném Městským soudem v Praze</w:t>
      </w:r>
      <w:r>
        <w:br/>
        <w:t>oddíl C, vložka 12401</w:t>
      </w:r>
      <w:r>
        <w:br/>
        <w:t>zastoupená: jednateli Ing. Petrem Morávkem a Ing. Václavem Niklem</w:t>
      </w:r>
      <w:r>
        <w:br/>
        <w:t>čestně prohlašuje, že níže uvedenými osobami hodlá plnit předmět uvedené veřejné zakázky část 2 - Odvoz a likvidace komunálního odpadu</w:t>
      </w:r>
    </w:p>
    <w:p w14:paraId="433F5CFB" w14:textId="77777777" w:rsidR="00BB34CB" w:rsidRDefault="00F97DC8">
      <w:pPr>
        <w:pStyle w:val="Style15"/>
        <w:shd w:val="clear" w:color="auto" w:fill="auto"/>
        <w:spacing w:line="240" w:lineRule="auto"/>
        <w:ind w:left="5054"/>
      </w:pPr>
      <w:r>
        <w:t>v objektech Litoměřice a okolí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435"/>
        <w:gridCol w:w="2405"/>
        <w:gridCol w:w="2962"/>
        <w:gridCol w:w="3888"/>
      </w:tblGrid>
      <w:tr w:rsidR="00BB34CB" w14:paraId="325F5D5F" w14:textId="77777777">
        <w:trPr>
          <w:trHeight w:hRule="exact" w:val="864"/>
          <w:jc w:val="center"/>
        </w:trPr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ED250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Identifikační údaje poddodavatele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372BB1" w14:textId="77777777" w:rsidR="00BB34CB" w:rsidRDefault="00F97DC8">
            <w:pPr>
              <w:pStyle w:val="Style18"/>
              <w:shd w:val="clear" w:color="auto" w:fill="auto"/>
              <w:spacing w:after="0" w:line="32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Odhad objemu poddodávky z celkového objemu zakázky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3FD0A" w14:textId="77777777" w:rsidR="00BB34CB" w:rsidRDefault="00F97DC8">
            <w:pPr>
              <w:pStyle w:val="Style18"/>
              <w:shd w:val="clear" w:color="auto" w:fill="auto"/>
              <w:spacing w:after="0" w:line="322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Specifikace prací realizovaných poddodavatelem/ specifikace části kvalifikace prokazované poddodavatelem</w:t>
            </w:r>
          </w:p>
        </w:tc>
      </w:tr>
      <w:tr w:rsidR="00BB34CB" w14:paraId="1CE5D354" w14:textId="77777777">
        <w:trPr>
          <w:trHeight w:hRule="exact" w:val="562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8DDF5B" w14:textId="77777777" w:rsidR="00BB34CB" w:rsidRDefault="00F97DC8">
            <w:pPr>
              <w:pStyle w:val="Style18"/>
              <w:shd w:val="clear" w:color="auto" w:fill="auto"/>
              <w:spacing w:after="0" w:line="324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Obchodní firma/ jméno a příjmení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E515E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45C8A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9EE85C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% nebo Kč a slovní popis</w:t>
            </w:r>
          </w:p>
        </w:tc>
        <w:tc>
          <w:tcPr>
            <w:tcW w:w="3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4DD2C" w14:textId="77777777" w:rsidR="00BB34CB" w:rsidRDefault="00BB34CB"/>
        </w:tc>
      </w:tr>
      <w:tr w:rsidR="00BB34CB" w14:paraId="10411911" w14:textId="77777777">
        <w:trPr>
          <w:trHeight w:hRule="exact" w:val="1085"/>
          <w:jc w:val="center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8F82F" w14:textId="77777777" w:rsidR="00BB34CB" w:rsidRDefault="00F97DC8">
            <w:pPr>
              <w:pStyle w:val="Style18"/>
              <w:shd w:val="clear" w:color="auto" w:fill="auto"/>
              <w:spacing w:after="0" w:line="305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Podnik technických služeb Lovosice s.r.o.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860587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25014706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EFFCE" w14:textId="77777777" w:rsidR="00BB34CB" w:rsidRDefault="00F97DC8">
            <w:pPr>
              <w:pStyle w:val="Style18"/>
              <w:shd w:val="clear" w:color="auto" w:fill="auto"/>
              <w:spacing w:after="0" w:line="312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Prosmycká</w:t>
            </w:r>
            <w:proofErr w:type="spellEnd"/>
            <w:r>
              <w:rPr>
                <w:sz w:val="19"/>
                <w:szCs w:val="19"/>
              </w:rPr>
              <w:t xml:space="preserve"> 89/1, 410 02 </w:t>
            </w:r>
            <w:proofErr w:type="spellStart"/>
            <w:r>
              <w:rPr>
                <w:sz w:val="19"/>
                <w:szCs w:val="19"/>
              </w:rPr>
              <w:t>Losvosice</w:t>
            </w:r>
            <w:proofErr w:type="spellEnd"/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8741A" w14:textId="77777777" w:rsidR="00BB34CB" w:rsidRDefault="00F97DC8">
            <w:pPr>
              <w:pStyle w:val="Style18"/>
              <w:shd w:val="clear" w:color="auto" w:fill="auto"/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100%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AE35B" w14:textId="77777777" w:rsidR="00BB34CB" w:rsidRDefault="00F97DC8">
            <w:pPr>
              <w:pStyle w:val="Style18"/>
              <w:shd w:val="clear" w:color="auto" w:fill="auto"/>
              <w:spacing w:after="0" w:line="305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Svoz komunálního a separovaného odpadu.</w:t>
            </w:r>
          </w:p>
        </w:tc>
      </w:tr>
    </w:tbl>
    <w:p w14:paraId="2C6B5015" w14:textId="77777777" w:rsidR="00BB34CB" w:rsidRDefault="00BB34CB">
      <w:pPr>
        <w:spacing w:after="99" w:line="1" w:lineRule="exact"/>
      </w:pPr>
    </w:p>
    <w:p w14:paraId="2BEC043B" w14:textId="7868A614" w:rsidR="00BB34CB" w:rsidRDefault="00F97DC8">
      <w:pPr>
        <w:pStyle w:val="Style12"/>
        <w:shd w:val="clear" w:color="auto" w:fill="auto"/>
        <w:spacing w:line="240" w:lineRule="auto"/>
      </w:pPr>
      <w:r>
        <w:t>V Praze dne 28. 5. 2021</w:t>
      </w:r>
    </w:p>
    <w:p w14:paraId="186B13AB" w14:textId="77777777" w:rsidR="00BB34CB" w:rsidRDefault="00F97DC8">
      <w:pPr>
        <w:pStyle w:val="Style12"/>
        <w:shd w:val="clear" w:color="auto" w:fill="auto"/>
        <w:spacing w:after="240" w:line="240" w:lineRule="auto"/>
        <w:jc w:val="both"/>
      </w:pPr>
      <w:r>
        <w:t>Podpis osoby oprávněné zastupovat účastníka zadávacího řízení;</w:t>
      </w:r>
    </w:p>
    <w:p w14:paraId="5EDE3E7E" w14:textId="77777777" w:rsidR="00BB34CB" w:rsidRDefault="00F97DC8">
      <w:pPr>
        <w:pStyle w:val="Style12"/>
        <w:shd w:val="clear" w:color="auto" w:fill="auto"/>
        <w:spacing w:line="286" w:lineRule="auto"/>
        <w:ind w:left="3020" w:right="1980"/>
        <w:jc w:val="right"/>
        <w:rPr>
          <w:sz w:val="12"/>
          <w:szCs w:val="12"/>
        </w:rPr>
      </w:pPr>
      <w:r>
        <w:t xml:space="preserve">Ing. Pavla Chmelařové, vedoucí oddělení živnostenských zakázek </w:t>
      </w:r>
      <w:r>
        <w:rPr>
          <w:sz w:val="12"/>
          <w:szCs w:val="12"/>
        </w:rPr>
        <w:t>»</w:t>
      </w:r>
    </w:p>
    <w:p w14:paraId="0F104A88" w14:textId="77777777" w:rsidR="00BB34CB" w:rsidRDefault="00F97DC8">
      <w:pPr>
        <w:pStyle w:val="Style32"/>
        <w:shd w:val="clear" w:color="auto" w:fill="auto"/>
        <w:tabs>
          <w:tab w:val="left" w:pos="950"/>
          <w:tab w:val="left" w:pos="1440"/>
          <w:tab w:val="left" w:pos="1944"/>
        </w:tabs>
        <w:spacing w:line="226" w:lineRule="auto"/>
        <w:ind w:left="0"/>
        <w:jc w:val="center"/>
      </w:pPr>
      <w:r>
        <w:t>®</w:t>
      </w:r>
      <w:r>
        <w:tab/>
        <w:t>z</w:t>
      </w:r>
      <w:r>
        <w:tab/>
        <w:t>v</w:t>
      </w:r>
      <w:r>
        <w:tab/>
        <w:t>/</w:t>
      </w:r>
    </w:p>
    <w:p w14:paraId="4DA173CC" w14:textId="086CEB2F" w:rsidR="00BB34CB" w:rsidRDefault="00F97DC8" w:rsidP="002E03DA">
      <w:pPr>
        <w:pStyle w:val="Style12"/>
        <w:shd w:val="clear" w:color="auto" w:fill="auto"/>
        <w:tabs>
          <w:tab w:val="left" w:pos="5718"/>
        </w:tabs>
        <w:spacing w:line="240" w:lineRule="auto"/>
        <w:ind w:left="2560"/>
      </w:pPr>
      <w:r>
        <w:rPr>
          <w:sz w:val="12"/>
          <w:szCs w:val="12"/>
          <w:lang w:val="en-US" w:eastAsia="en-US" w:bidi="en-US"/>
        </w:rPr>
        <w:tab/>
      </w:r>
      <w:r>
        <w:t>(</w:t>
      </w:r>
      <w:r w:rsidR="002E03DA">
        <w:t>Na</w:t>
      </w:r>
      <w:r>
        <w:t xml:space="preserve"> z</w:t>
      </w:r>
      <w:r w:rsidR="00E110FC">
        <w:t>á</w:t>
      </w:r>
      <w:r>
        <w:t>klad</w:t>
      </w:r>
      <w:r w:rsidR="002E03DA">
        <w:t>ě</w:t>
      </w:r>
      <w:r>
        <w:t xml:space="preserve"> pl</w:t>
      </w:r>
      <w:r w:rsidR="002E03DA">
        <w:t>né</w:t>
      </w:r>
      <w:r>
        <w:t xml:space="preserve"> moci ze dne 17.5.2021)</w:t>
      </w:r>
    </w:p>
    <w:p w14:paraId="45E427DC" w14:textId="5562A068" w:rsidR="00BB34CB" w:rsidRDefault="00BB34CB">
      <w:pPr>
        <w:pStyle w:val="Style32"/>
        <w:shd w:val="clear" w:color="auto" w:fill="auto"/>
        <w:spacing w:line="233" w:lineRule="auto"/>
        <w:ind w:left="2840"/>
      </w:pPr>
    </w:p>
    <w:p w14:paraId="37CD983A" w14:textId="77777777" w:rsidR="00BB34CB" w:rsidRDefault="00BB34CB" w:rsidP="002E03DA">
      <w:pPr>
        <w:spacing w:line="360" w:lineRule="exact"/>
      </w:pPr>
    </w:p>
    <w:sectPr w:rsidR="00BB34CB" w:rsidSect="002E03DA">
      <w:footerReference w:type="even" r:id="rId17"/>
      <w:footerReference w:type="default" r:id="rId18"/>
      <w:pgSz w:w="16934" w:h="12048" w:orient="landscape"/>
      <w:pgMar w:top="1215" w:right="1090" w:bottom="978" w:left="399" w:header="6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8AB73" w14:textId="77777777" w:rsidR="0035360F" w:rsidRDefault="00F97DC8">
      <w:r>
        <w:separator/>
      </w:r>
    </w:p>
  </w:endnote>
  <w:endnote w:type="continuationSeparator" w:id="0">
    <w:p w14:paraId="3F54DE6A" w14:textId="77777777" w:rsidR="0035360F" w:rsidRDefault="00F97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F9FC" w14:textId="77777777" w:rsidR="00BB34CB" w:rsidRDefault="00BB34CB">
    <w:pPr>
      <w:spacing w:line="1" w:lineRule="exac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A5046" w14:textId="77777777" w:rsidR="00BB34CB" w:rsidRDefault="00F97D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65DB44E5" wp14:editId="27EF0326">
              <wp:simplePos x="0" y="0"/>
              <wp:positionH relativeFrom="page">
                <wp:posOffset>6428105</wp:posOffset>
              </wp:positionH>
              <wp:positionV relativeFrom="page">
                <wp:posOffset>10427335</wp:posOffset>
              </wp:positionV>
              <wp:extent cx="740410" cy="19494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E0C551" w14:textId="77777777" w:rsidR="00BB34CB" w:rsidRDefault="00BB34C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B44E5" id="_x0000_t202" coordsize="21600,21600" o:spt="202" path="m,l,21600r21600,l21600,xe">
              <v:stroke joinstyle="miter"/>
              <v:path gradientshapeok="t" o:connecttype="rect"/>
            </v:shapetype>
            <v:shape id="Shape 26" o:spid="_x0000_s1032" type="#_x0000_t202" style="position:absolute;margin-left:506.15pt;margin-top:821.05pt;width:58.3pt;height:15.35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lYumAEAACoDAAAOAAAAZHJzL2Uyb0RvYy54bWysUttOwzAMfUfiH6K8s3bTuFXrEAiBkBAg&#10;AR+QpckaqYmjOKzd3+Nk60DwhnhJfevxObYXV4Pt2EYFNOBqPp2UnCknoTFuXfP3t7uTC84wCteI&#10;Dpyq+VYhv1oeHy16X6kZtNA1KjACcVj1vuZtjL4qCpStsgIn4JWjpIZgRSQ3rIsmiJ7QbVfMyvKs&#10;6CE0PoBUiBS93SX5MuNrrWR81hpVZF3NiVvMb8jvKr3FciGqdRC+NXJPQ/yBhRXGUdMD1K2Ign0E&#10;8wvKGhkAQceJBFuA1kaqrIHUTMsfal5b4VXWQsNBfxgT/h+sfNq8BGaams/OOHPC0o5yW0Y+Daf3&#10;WFHNq6eqONzAQEse40jBpHnQwaYvqWGUpzFvD6NVQ2SSgufzcj6ljKTU9HJ+OT9NKMXXzz5gvFdg&#10;WTJqHmhzeaBi84hxVzqWpF4O7kzXpXhiuGOSrDishiznfGS5gmZL5Hvacc0dHSFn3YOjEaZzGI0w&#10;Gqu9kXqgv/6I1Ce3T+A7qH1PWkgWsD+etPHvfq76OvHlJwAAAP//AwBQSwMEFAAGAAgAAAAhAH/e&#10;Yx/gAAAADwEAAA8AAABkcnMvZG93bnJldi54bWxMj8FOwzAQRO9I/IO1lbhRJwa1IcSpUCUu3CgV&#10;Ejc33sZRYzuy3TT5ezYnuO3sjmbfVLvJ9mzEEDvvJOTrDBi6xuvOtRKOX++PBbCYlNOq9w4lzBhh&#10;V9/fVarU/uY+cTykllGIi6WSYFIaSs5jY9CquPYDOrqdfbAqkQwt10HdKNz2XGTZhlvVOfpg1IB7&#10;g83lcLUSttO3xyHiHn/OYxNMNxf9xyzlw2p6ewWWcEp/ZljwCR1qYjr5q9OR9aSzXDyRl6bNs8iB&#10;LZ5cFC/ATstuKwrgdcX/96h/AQAA//8DAFBLAQItABQABgAIAAAAIQC2gziS/gAAAOEBAAATAAAA&#10;AAAAAAAAAAAAAAAAAABbQ29udGVudF9UeXBlc10ueG1sUEsBAi0AFAAGAAgAAAAhADj9If/WAAAA&#10;lAEAAAsAAAAAAAAAAAAAAAAALwEAAF9yZWxzLy5yZWxzUEsBAi0AFAAGAAgAAAAhAH9WVi6YAQAA&#10;KgMAAA4AAAAAAAAAAAAAAAAALgIAAGRycy9lMm9Eb2MueG1sUEsBAi0AFAAGAAgAAAAhAH/eYx/g&#10;AAAADwEAAA8AAAAAAAAAAAAAAAAA8gMAAGRycy9kb3ducmV2LnhtbFBLBQYAAAAABAAEAPMAAAD/&#10;BAAAAAA=&#10;" filled="f" stroked="f">
              <v:textbox style="mso-fit-shape-to-text:t" inset="0,0,0,0">
                <w:txbxContent>
                  <w:p w14:paraId="69E0C551" w14:textId="77777777" w:rsidR="00BB34CB" w:rsidRDefault="00BB34CB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41BEA" w14:textId="77777777" w:rsidR="00BB34CB" w:rsidRDefault="00BB34CB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3919A" w14:textId="77777777" w:rsidR="00BB34CB" w:rsidRDefault="00F97D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DACF69" wp14:editId="4B53BD4B">
              <wp:simplePos x="0" y="0"/>
              <wp:positionH relativeFrom="page">
                <wp:posOffset>3939540</wp:posOffset>
              </wp:positionH>
              <wp:positionV relativeFrom="page">
                <wp:posOffset>9714230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3412BB" w14:textId="77777777" w:rsidR="00BB34CB" w:rsidRDefault="00F97DC8">
                          <w:pPr>
                            <w:pStyle w:val="Style9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ACF6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10.2pt;margin-top:764.9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UigkQEAAB8DAAAOAAAAZHJzL2Uyb0RvYy54bWysUsFOwzAMvSPxD1HurN2kwVStQyA0hIQA&#10;CfiALE3WSE0cxWHt/h4n6waCG+LiOrb7/Pzs5fVgO7ZTAQ24mk8nJWfKSWiM29b8/W19seAMo3CN&#10;6MCpmu8V8uvV+dmy95WaQQtdowIjEIdV72vexuirokDZKitwAl45SmoIVkR6hm3RBNETuu2KWVle&#10;Fj2ExgeQCpGid4ckX2V8rZWMz1qjiqyrOXGL2YZsN8kWq6WotkH41siRhvgDCyuMo6YnqDsRBfsI&#10;5heUNTIAgo4TCbYArY1UeQaaZlr+mOa1FV7lWUgc9CeZ8P9g5dPuJTDT0O44c8LSinJXNk3S9B4r&#10;qnj1VBOHWxhS2RhHCqaJBx1s+tIsjPIk8v4krBoikxScz8orSkjKLBazy3nCKL5+9QHjvQLLklPz&#10;QFvLYordI8ZD6bEkdXKwNl2X4onfgUfy4rAZRnIbaPbEuafF1tzR5XHWPTjSLd3A0QlHZzM6CRz9&#10;zUekBrlvQj1Ajc1oC5n5eDFpzd/fuerrrlefAAAA//8DAFBLAwQUAAYACAAAACEABt0zZt8AAAAN&#10;AQAADwAAAGRycy9kb3ducmV2LnhtbEyPwU7DMBBE70j8g7VI3KhDKGkIcSpUiQs3CkLi5sbbOMJe&#10;R7GbJn/P9gTHnXmanam3s3diwjH2gRTcrzIQSG0wPXUKPj9e70oQMWky2gVCBQtG2DbXV7WuTDjT&#10;O0771AkOoVhpBTaloZIytha9jqswILF3DKPXic+xk2bUZw73TuZZVkive+IPVg+4s9j+7E9ewWb+&#10;CjhE3OH3cWpH2y+le1uUur2ZX55BJJzTHwyX+lwdGu50CCcyUTgFRZ6tGWXjMX/iEYwUeVmAOFyk&#10;9cMGZFPL/yuaXwAAAP//AwBQSwECLQAUAAYACAAAACEAtoM4kv4AAADhAQAAEwAAAAAAAAAAAAAA&#10;AAAAAAAAW0NvbnRlbnRfVHlwZXNdLnhtbFBLAQItABQABgAIAAAAIQA4/SH/1gAAAJQBAAALAAAA&#10;AAAAAAAAAAAAAC8BAABfcmVscy8ucmVsc1BLAQItABQABgAIAAAAIQBZUUigkQEAAB8DAAAOAAAA&#10;AAAAAAAAAAAAAC4CAABkcnMvZTJvRG9jLnhtbFBLAQItABQABgAIAAAAIQAG3TNm3wAAAA0BAAAP&#10;AAAAAAAAAAAAAAAAAOsDAABkcnMvZG93bnJldi54bWxQSwUGAAAAAAQABADzAAAA9wQAAAAA&#10;" filled="f" stroked="f">
              <v:textbox style="mso-fit-shape-to-text:t" inset="0,0,0,0">
                <w:txbxContent>
                  <w:p w14:paraId="353412BB" w14:textId="77777777" w:rsidR="00BB34CB" w:rsidRDefault="00F97DC8">
                    <w:pPr>
                      <w:pStyle w:val="Style9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96F1" w14:textId="77777777" w:rsidR="00BB34CB" w:rsidRDefault="00BB34CB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2B79C" w14:textId="77777777" w:rsidR="00BB34CB" w:rsidRDefault="00F97D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691D164" wp14:editId="031ADFCB">
              <wp:simplePos x="0" y="0"/>
              <wp:positionH relativeFrom="page">
                <wp:posOffset>6428105</wp:posOffset>
              </wp:positionH>
              <wp:positionV relativeFrom="page">
                <wp:posOffset>10427335</wp:posOffset>
              </wp:positionV>
              <wp:extent cx="740410" cy="1949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5AE1D4" w14:textId="77777777" w:rsidR="00BB34CB" w:rsidRDefault="00BB34C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1D164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506.15pt;margin-top:821.05pt;width:58.3pt;height:15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PLPlgEAACgDAAAOAAAAZHJzL2Uyb0RvYy54bWysUttOwzAMfUfiH6K8s3Zs3Kp1EwiBkBAg&#10;AR+QpckaqYmjOKzd3+NkFxC8IV5cx3aPz7E9Wwy2Y2sV0ICr+XhUcqachMa4Vc3f3+5OLjnDKFwj&#10;OnCq5huFfDE/Ppr1vlKn0ELXqMAIxGHV+5q3MfqqKFC2ygocgVeOkhqCFZGeYVU0QfSEbrvitCzP&#10;ix5C4wNIhUjR222SzzO+1krGZ61RRdbVnLjFbEO2y2SL+UxUqyB8a+SOhvgDCyuMo6YHqFsRBfsI&#10;5heUNTIAgo4jCbYArY1UWQOpGZc/1Ly2wqushYaD/jAm/D9Y+bR+Ccw0NZ9w5oSlFeWubJJG03us&#10;qOLVU00cbmCgFe/jSMGkeNDBpi9pYZSnIW8Og1VDZJKCF9NyOqaMpNT4ano1PUsoxdfPPmC8V2BZ&#10;cmoeaG95nGL9iHFbui9JvRzcma5L8cRwyyR5cVgOWcyB5RKaDZHvacM1d3SCnHUPjgaYjmHvhL2z&#10;3DmpB/rrj0h9cvsEvoXa9aR1ZAG700n7/v7OVV8HPv8EAAD//wMAUEsDBBQABgAIAAAAIQB/3mMf&#10;4AAAAA8BAAAPAAAAZHJzL2Rvd25yZXYueG1sTI/BTsMwEETvSPyDtZW4UScGtSHEqVAlLtwoFRI3&#10;N97GUWM7st00+Xs2J7jt7I5m31S7yfZsxBA77yTk6wwYusbrzrUSjl/vjwWwmJTTqvcOJcwYYVff&#10;31Wq1P7mPnE8pJZRiIulkmBSGkrOY2PQqrj2Azq6nX2wKpEMLddB3Sjc9lxk2YZb1Tn6YNSAe4PN&#10;5XC1ErbTt8ch4h5/zmMTTDcX/ccs5cNqensFlnBKf2ZY8AkdamI6+avTkfWks1w8kZemzbPIgS2e&#10;XBQvwE7LbisK4HXF//eofwEAAP//AwBQSwECLQAUAAYACAAAACEAtoM4kv4AAADhAQAAEwAAAAAA&#10;AAAAAAAAAAAAAAAAW0NvbnRlbnRfVHlwZXNdLnhtbFBLAQItABQABgAIAAAAIQA4/SH/1gAAAJQB&#10;AAALAAAAAAAAAAAAAAAAAC8BAABfcmVscy8ucmVsc1BLAQItABQABgAIAAAAIQCSrPLPlgEAACgD&#10;AAAOAAAAAAAAAAAAAAAAAC4CAABkcnMvZTJvRG9jLnhtbFBLAQItABQABgAIAAAAIQB/3mMf4AAA&#10;AA8BAAAPAAAAAAAAAAAAAAAAAPADAABkcnMvZG93bnJldi54bWxQSwUGAAAAAAQABADzAAAA/QQA&#10;AAAA&#10;" filled="f" stroked="f">
              <v:textbox style="mso-fit-shape-to-text:t" inset="0,0,0,0">
                <w:txbxContent>
                  <w:p w14:paraId="2F5AE1D4" w14:textId="77777777" w:rsidR="00BB34CB" w:rsidRDefault="00BB34CB"/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446E2" w14:textId="77777777" w:rsidR="00BB34CB" w:rsidRDefault="00F97D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390828E4" wp14:editId="09158AE0">
              <wp:simplePos x="0" y="0"/>
              <wp:positionH relativeFrom="page">
                <wp:posOffset>3916680</wp:posOffset>
              </wp:positionH>
              <wp:positionV relativeFrom="page">
                <wp:posOffset>9616440</wp:posOffset>
              </wp:positionV>
              <wp:extent cx="57785" cy="8826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8DDAF" w14:textId="77777777" w:rsidR="00BB34CB" w:rsidRDefault="00F97DC8">
                          <w:pPr>
                            <w:pStyle w:val="Style9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828E4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308.4pt;margin-top:757.2pt;width:4.55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P+lQEAACYDAAAOAAAAZHJzL2Uyb0RvYy54bWysUsFOwzAMvSPxD1HurNukjalaN4EQCAkB&#10;EvABWZqskZo4irO1+3ucbB0IboiL69ju83u2l+vetmyvAhpwFZ+MxpwpJ6E2blvxj/f7qwVnGIWr&#10;RQtOVfygkK9XlxfLzpdqCg20tQqMQByWna94E6MviwJlo6zAEXjlKKkhWBHpGbZFHURH6LYtpuPx&#10;vOgg1D6AVIgUvTsm+Srja61kfNEaVWRtxYlbzDZku0m2WC1FuQ3CN0aeaIg/sLDCOGp6hroTUbBd&#10;ML+grJEBEHQcSbAFaG2kyhpIzWT8Q81bI7zKWmg46M9jwv+Dlc/718BMXfEZZ05YWlHuymZpNJ3H&#10;kirePNXE/hZ6WvEQRwomxb0ONn1JC6M8DflwHqzqI5MUnF1fLwhfUmaxmM4zdvH1qw8YHxRYlpyK&#10;B9paHqbYP2EkGlQ6lKRODu5N26Z44nfkkbzYb/osZTpw3EB9IOod7bfijg6Qs/bR0fjSKQxOGJzN&#10;yUk90N/sIvXJ7RP4EerUk5aRWZ0OJ237+ztXfZ336hMAAP//AwBQSwMEFAAGAAgAAAAhAJUheJDf&#10;AAAADQEAAA8AAABkcnMvZG93bnJldi54bWxMj81OwzAQhO9IvIO1SNyok9CGEOJUqBIXbrQIiZsb&#10;b+MI/0S2myZvz/YEx9kZzXzbbGdr2IQhDt4JyFcZMHSdV4PrBXwe3h4qYDFJp6TxDgUsGGHb3t40&#10;slb+4j5w2qeeUYmLtRSgUxprzmOn0cq48iM68k4+WJlIhp6rIC9Ubg0vsqzkVg6OFrQccaex+9mf&#10;rYCn+cvjGHGH36epC3pYKvO+CHF/N7++AEs4p78wXPEJHVpiOvqzU5EZAWVeEnoiY5Ov18AoUhab&#10;Z2DH66moHoG3Df//RfsLAAD//wMAUEsBAi0AFAAGAAgAAAAhALaDOJL+AAAA4QEAABMAAAAAAAAA&#10;AAAAAAAAAAAAAFtDb250ZW50X1R5cGVzXS54bWxQSwECLQAUAAYACAAAACEAOP0h/9YAAACUAQAA&#10;CwAAAAAAAAAAAAAAAAAvAQAAX3JlbHMvLnJlbHNQSwECLQAUAAYACAAAACEAKgfD/pUBAAAmAwAA&#10;DgAAAAAAAAAAAAAAAAAuAgAAZHJzL2Uyb0RvYy54bWxQSwECLQAUAAYACAAAACEAlSF4kN8AAAAN&#10;AQAADwAAAAAAAAAAAAAAAADvAwAAZHJzL2Rvd25yZXYueG1sUEsFBgAAAAAEAAQA8wAAAPsEAAAA&#10;AA==&#10;" filled="f" stroked="f">
              <v:textbox style="mso-fit-shape-to-text:t" inset="0,0,0,0">
                <w:txbxContent>
                  <w:p w14:paraId="3B88DDAF" w14:textId="77777777" w:rsidR="00BB34CB" w:rsidRDefault="00F97DC8">
                    <w:pPr>
                      <w:pStyle w:val="Style9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1A7D67E7" wp14:editId="5807C90E">
              <wp:simplePos x="0" y="0"/>
              <wp:positionH relativeFrom="page">
                <wp:posOffset>6449060</wp:posOffset>
              </wp:positionH>
              <wp:positionV relativeFrom="page">
                <wp:posOffset>10274935</wp:posOffset>
              </wp:positionV>
              <wp:extent cx="701040" cy="2590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1040" cy="259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37DABF" w14:textId="77777777" w:rsidR="00BB34CB" w:rsidRDefault="00BB34C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67E7" id="Shape 7" o:spid="_x0000_s1030" type="#_x0000_t202" style="position:absolute;margin-left:507.8pt;margin-top:809.05pt;width:55.2pt;height:20.4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sClwEAACgDAAAOAAAAZHJzL2Uyb0RvYy54bWysUttOwzAMfUfiH6K8s5ZxGVTrEAiBkBAg&#10;AR+QpckaqYmjOKzd3+Nk60DwhnhJHds9Puc486vBdmytAhpwNT+elJwpJ6ExblXz97e7owvOMArX&#10;iA6cqvlGIb9aHB7Me1+pKbTQNSowAnFY9b7mbYy+KgqUrbICJ+CVo6KGYEWka1gVTRA9oduumJbl&#10;edFDaHwAqRApe7st8kXG11rJ+Kw1qsi6mhO3mM+Qz2U6i8VcVKsgfGvkjob4AwsrjKOhe6hbEQX7&#10;COYXlDUyAIKOEwm2AK2NVFkDqTkuf6h5bYVXWQuZg35vE/4frHxavwRmmprPOHPC0oryVDZL1vQe&#10;K+p49dQThxsYaMVjHimZFA862PQlLYzqZPJmb6waIpOUnJG2U6pIKk3PLsuLbHzx9bMPGO8VWJaC&#10;mgfaW7ZTrB8xEhFqHVvSLAd3putSPjHcMklRHJZDFnMyslxCsyHyPW245o6eIGfdgyMD02MYgzAG&#10;y12QZqC//og0J49P4Fuo3UxaR2a1ezpp39/vuevrgS8+AQAA//8DAFBLAwQUAAYACAAAACEAjRJB&#10;898AAAAPAQAADwAAAGRycy9kb3ducmV2LnhtbEyPzU7DMBCE70i8g7VI3KjjSg0hxKlQJS7cKAiJ&#10;mxtv4wj/RLabJm/P5gS3nd3R7DfNfnaWTRjTELwEsSmAoe+CHnwv4fPj9aEClrLyWtngUcKCCfbt&#10;7U2jah2u/h2nY+4ZhfhUKwkm57HmPHUGnUqbMKKn2zlEpzLJ2HMd1ZXCneXboii5U4OnD0aNeDDY&#10;/RwvTsLj/BVwTHjA7/PURTMslX1bpLy/m1+egWWc858ZVnxCh5aYTuHidWKWdCF2JXlpKkUlgK0e&#10;sS2p4Gnd7aon4G3D//dofwEAAP//AwBQSwECLQAUAAYACAAAACEAtoM4kv4AAADhAQAAEwAAAAAA&#10;AAAAAAAAAAAAAAAAW0NvbnRlbnRfVHlwZXNdLnhtbFBLAQItABQABgAIAAAAIQA4/SH/1gAAAJQB&#10;AAALAAAAAAAAAAAAAAAAAC8BAABfcmVscy8ucmVsc1BLAQItABQABgAIAAAAIQCJTIsClwEAACgD&#10;AAAOAAAAAAAAAAAAAAAAAC4CAABkcnMvZTJvRG9jLnhtbFBLAQItABQABgAIAAAAIQCNEkHz3wAA&#10;AA8BAAAPAAAAAAAAAAAAAAAAAPEDAABkcnMvZG93bnJldi54bWxQSwUGAAAAAAQABADzAAAA/QQA&#10;AAAA&#10;" filled="f" stroked="f">
              <v:textbox style="mso-fit-shape-to-text:t" inset="0,0,0,0">
                <w:txbxContent>
                  <w:p w14:paraId="7237DABF" w14:textId="77777777" w:rsidR="00BB34CB" w:rsidRDefault="00BB34CB"/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8F8F7" w14:textId="77777777" w:rsidR="00BB34CB" w:rsidRDefault="00BB34C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55997" w14:textId="77777777" w:rsidR="00BB34CB" w:rsidRDefault="00BB34CB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8606A" w14:textId="77777777" w:rsidR="00BB34CB" w:rsidRDefault="00F97DC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080A9592" wp14:editId="1918C21B">
              <wp:simplePos x="0" y="0"/>
              <wp:positionH relativeFrom="page">
                <wp:posOffset>6428105</wp:posOffset>
              </wp:positionH>
              <wp:positionV relativeFrom="page">
                <wp:posOffset>10427335</wp:posOffset>
              </wp:positionV>
              <wp:extent cx="740410" cy="19494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410" cy="194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8FF6C0" w14:textId="77777777" w:rsidR="00BB34CB" w:rsidRDefault="00BB34CB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A9592" id="_x0000_t202" coordsize="21600,21600" o:spt="202" path="m,l,21600r21600,l21600,xe">
              <v:stroke joinstyle="miter"/>
              <v:path gradientshapeok="t" o:connecttype="rect"/>
            </v:shapetype>
            <v:shape id="Shape 28" o:spid="_x0000_s1031" type="#_x0000_t202" style="position:absolute;margin-left:506.15pt;margin-top:821.05pt;width:58.3pt;height:15.3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0FJlwEAACoDAAAOAAAAZHJzL2Uyb0RvYy54bWysUttOwzAMfUfiH6K8s3bTuFXrEAiBkBAg&#10;AR+QpckaqYmjOKzd3+Nk60DwhnhJfeuxj48XV4Pt2EYFNOBqPp2UnCknoTFuXfP3t7uTC84wCteI&#10;Dpyq+VYhv1oeHy16X6kZtNA1KjACcVj1vuZtjL4qCpStsgIn4JWjpIZgRSQ3rIsmiJ7QbVfMyvKs&#10;6CE0PoBUiBS93SX5MuNrrWR81hpVZF3NabaY35DfVXqL5UJU6yB8a+R+DPGHKawwjpoeoG5FFOwj&#10;mF9Q1sgACDpOJNgCtDZSZQ7EZlr+YPPaCq8yF1oO+sOa8P9g5dPmJTDT1HxGSjlhSaPclpFPy+k9&#10;VlTz6qkqDjcwkMhjHCmYOA862PQlNozytObtYbVqiExS8HxezqeUkZSaXs4v56cJpfj62QeM9wos&#10;S0bNAymXFyo2jxh3pWNJ6uXgznRdiqcJd5MkKw6rIdM5G6dcQbOl4XvSuOaOjpCz7sHRCtM5jEYY&#10;jdXeSD3QX39E6pPbJ/Ad1L4nCZIJ7I8nKf7dz1VfJ778BAAA//8DAFBLAwQUAAYACAAAACEAf95j&#10;H+AAAAAPAQAADwAAAGRycy9kb3ducmV2LnhtbEyPwU7DMBBE70j8g7WVuFEnBrUhxKlQJS7cKBUS&#10;NzfexlFjO7LdNPl7Nie47eyOZt9Uu8n2bMQQO+8k5OsMGLrG6861Eo5f748FsJiU06r3DiXMGGFX&#10;399VqtT+5j5xPKSWUYiLpZJgUhpKzmNj0Kq49gM6up19sCqRDC3XQd0o3PZcZNmGW9U5+mDUgHuD&#10;zeVwtRK207fHIeIef85jE0w3F/3HLOXDanp7BZZwSn9mWPAJHWpiOvmr05H1pLNcPJGXps2zyIEt&#10;nlwUL8BOy24rCuB1xf/3qH8BAAD//wMAUEsBAi0AFAAGAAgAAAAhALaDOJL+AAAA4QEAABMAAAAA&#10;AAAAAAAAAAAAAAAAAFtDb250ZW50X1R5cGVzXS54bWxQSwECLQAUAAYACAAAACEAOP0h/9YAAACU&#10;AQAACwAAAAAAAAAAAAAAAAAvAQAAX3JlbHMvLnJlbHNQSwECLQAUAAYACAAAACEAdQdBSZcBAAAq&#10;AwAADgAAAAAAAAAAAAAAAAAuAgAAZHJzL2Uyb0RvYy54bWxQSwECLQAUAAYACAAAACEAf95jH+AA&#10;AAAPAQAADwAAAAAAAAAAAAAAAADxAwAAZHJzL2Rvd25yZXYueG1sUEsFBgAAAAAEAAQA8wAAAP4E&#10;AAAAAA==&#10;" filled="f" stroked="f">
              <v:textbox style="mso-fit-shape-to-text:t" inset="0,0,0,0">
                <w:txbxContent>
                  <w:p w14:paraId="398FF6C0" w14:textId="77777777" w:rsidR="00BB34CB" w:rsidRDefault="00BB34C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FCCC1" w14:textId="77777777" w:rsidR="00BB34CB" w:rsidRDefault="00BB34CB"/>
  </w:footnote>
  <w:footnote w:type="continuationSeparator" w:id="0">
    <w:p w14:paraId="7729044C" w14:textId="77777777" w:rsidR="00BB34CB" w:rsidRDefault="00BB34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21A76"/>
    <w:multiLevelType w:val="multilevel"/>
    <w:tmpl w:val="B18CCC48"/>
    <w:lvl w:ilvl="0">
      <w:start w:val="8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5C4D01"/>
    <w:multiLevelType w:val="multilevel"/>
    <w:tmpl w:val="CABC2074"/>
    <w:lvl w:ilvl="0">
      <w:start w:val="4"/>
      <w:numFmt w:val="decimal"/>
      <w:lvlText w:val="4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9D3F80"/>
    <w:multiLevelType w:val="multilevel"/>
    <w:tmpl w:val="A1AAA2E6"/>
    <w:lvl w:ilvl="0">
      <w:start w:val="1"/>
      <w:numFmt w:val="decimal"/>
      <w:lvlText w:val="5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D37E1"/>
    <w:multiLevelType w:val="multilevel"/>
    <w:tmpl w:val="E7DC7C90"/>
    <w:lvl w:ilvl="0">
      <w:start w:val="8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8E4462"/>
    <w:multiLevelType w:val="multilevel"/>
    <w:tmpl w:val="67022EF2"/>
    <w:lvl w:ilvl="0">
      <w:start w:val="4"/>
      <w:numFmt w:val="decimal"/>
      <w:lvlText w:val="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0228F0"/>
    <w:multiLevelType w:val="multilevel"/>
    <w:tmpl w:val="53E03B3A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866378"/>
    <w:multiLevelType w:val="multilevel"/>
    <w:tmpl w:val="7E7E4318"/>
    <w:lvl w:ilvl="0">
      <w:start w:val="7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6F23C1"/>
    <w:multiLevelType w:val="multilevel"/>
    <w:tmpl w:val="CB04D2A2"/>
    <w:lvl w:ilvl="0">
      <w:start w:val="5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4CB"/>
    <w:rsid w:val="00073212"/>
    <w:rsid w:val="00077811"/>
    <w:rsid w:val="0018569B"/>
    <w:rsid w:val="002208C2"/>
    <w:rsid w:val="002429B3"/>
    <w:rsid w:val="002D5A20"/>
    <w:rsid w:val="002E03DA"/>
    <w:rsid w:val="0035360F"/>
    <w:rsid w:val="00381469"/>
    <w:rsid w:val="003B1DCF"/>
    <w:rsid w:val="003E28F5"/>
    <w:rsid w:val="004267FA"/>
    <w:rsid w:val="004D0AE5"/>
    <w:rsid w:val="004E40AA"/>
    <w:rsid w:val="005A0432"/>
    <w:rsid w:val="00604F37"/>
    <w:rsid w:val="006E43DC"/>
    <w:rsid w:val="0076470B"/>
    <w:rsid w:val="007D476A"/>
    <w:rsid w:val="0085237B"/>
    <w:rsid w:val="008F4C0B"/>
    <w:rsid w:val="00906FED"/>
    <w:rsid w:val="009D3F89"/>
    <w:rsid w:val="009F3677"/>
    <w:rsid w:val="00A44542"/>
    <w:rsid w:val="00AE6504"/>
    <w:rsid w:val="00BB34CB"/>
    <w:rsid w:val="00BD16DB"/>
    <w:rsid w:val="00BE1EA5"/>
    <w:rsid w:val="00BE60A2"/>
    <w:rsid w:val="00C41190"/>
    <w:rsid w:val="00E110FC"/>
    <w:rsid w:val="00E17EDF"/>
    <w:rsid w:val="00E25F05"/>
    <w:rsid w:val="00EC2603"/>
    <w:rsid w:val="00F276F0"/>
    <w:rsid w:val="00F9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2E0A"/>
  <w15:docId w15:val="{02E0C64A-26A3-446C-A010-F3B18E71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cs-CZ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60A2"/>
  </w:style>
  <w:style w:type="paragraph" w:styleId="Nadpis1">
    <w:name w:val="heading 1"/>
    <w:basedOn w:val="Normln"/>
    <w:next w:val="Normln"/>
    <w:link w:val="Nadpis1Char"/>
    <w:uiPriority w:val="9"/>
    <w:qFormat/>
    <w:rsid w:val="00BE60A2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E60A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60A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6">
    <w:name w:val="Char Style 6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0">
    <w:name w:val="Char Style 10"/>
    <w:basedOn w:val="Standardnpsmoodstavce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3">
    <w:name w:val="Char Style 23"/>
    <w:basedOn w:val="Standardnpsmoodstavce"/>
    <w:link w:val="Style2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30">
    <w:name w:val="Char Style 30"/>
    <w:basedOn w:val="Standardnpsmoodstavce"/>
    <w:link w:val="Style29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33">
    <w:name w:val="Char Style 33"/>
    <w:basedOn w:val="Standardnpsmoodstavce"/>
    <w:link w:val="Style32"/>
    <w:rPr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35">
    <w:name w:val="Char Style 35"/>
    <w:basedOn w:val="Standardnpsmoodstavce"/>
    <w:link w:val="Style34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43">
    <w:name w:val="Char Style 43"/>
    <w:basedOn w:val="Standardnpsmoodstavce"/>
    <w:link w:val="Style42"/>
    <w:rPr>
      <w:rFonts w:ascii="Arial" w:eastAsia="Arial" w:hAnsi="Arial" w:cs="Arial"/>
      <w:b/>
      <w:bCs/>
      <w:i/>
      <w:iCs/>
      <w:smallCaps w:val="0"/>
      <w:strike w:val="0"/>
      <w:sz w:val="50"/>
      <w:szCs w:val="50"/>
      <w:u w:val="none"/>
      <w:lang w:val="en-US" w:eastAsia="en-US" w:bidi="en-US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2">
    <w:name w:val="Char Style 52"/>
    <w:basedOn w:val="Standardnpsmoodstavce"/>
    <w:link w:val="Style51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CharStyle55">
    <w:name w:val="Char Style 55"/>
    <w:basedOn w:val="Standardnpsmoodstavce"/>
    <w:link w:val="Style54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Style5">
    <w:name w:val="Style 5"/>
    <w:basedOn w:val="Normln"/>
    <w:link w:val="CharStyle6"/>
    <w:pPr>
      <w:shd w:val="clear" w:color="auto" w:fill="FFFFFF"/>
      <w:spacing w:after="200" w:line="276" w:lineRule="auto"/>
    </w:pPr>
    <w:rPr>
      <w:rFonts w:ascii="Arial" w:eastAsia="Arial" w:hAnsi="Arial" w:cs="Arial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50" w:after="350"/>
      <w:jc w:val="center"/>
      <w:outlineLvl w:val="4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9">
    <w:name w:val="Style 9"/>
    <w:basedOn w:val="Normln"/>
    <w:link w:val="CharStyle10"/>
    <w:pPr>
      <w:shd w:val="clear" w:color="auto" w:fill="FFFFFF"/>
    </w:pPr>
    <w:rPr>
      <w:sz w:val="20"/>
      <w:szCs w:val="2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64" w:lineRule="auto"/>
    </w:pPr>
    <w:rPr>
      <w:rFonts w:ascii="Arial" w:eastAsia="Arial" w:hAnsi="Arial" w:cs="Arial"/>
      <w:sz w:val="19"/>
      <w:szCs w:val="19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line="290" w:lineRule="auto"/>
    </w:pPr>
    <w:rPr>
      <w:rFonts w:ascii="Arial" w:eastAsia="Arial" w:hAnsi="Arial" w:cs="Arial"/>
      <w:sz w:val="19"/>
      <w:szCs w:val="19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200" w:line="276" w:lineRule="auto"/>
    </w:pPr>
    <w:rPr>
      <w:rFonts w:ascii="Arial" w:eastAsia="Arial" w:hAnsi="Arial" w:cs="Arial"/>
    </w:rPr>
  </w:style>
  <w:style w:type="paragraph" w:customStyle="1" w:styleId="Style22">
    <w:name w:val="Style 22"/>
    <w:basedOn w:val="Normln"/>
    <w:link w:val="CharStyle23"/>
    <w:pPr>
      <w:shd w:val="clear" w:color="auto" w:fill="FFFFFF"/>
      <w:spacing w:after="200" w:line="276" w:lineRule="auto"/>
      <w:outlineLvl w:val="5"/>
    </w:pPr>
    <w:rPr>
      <w:rFonts w:ascii="Arial" w:eastAsia="Arial" w:hAnsi="Arial" w:cs="Arial"/>
      <w:b/>
      <w:bCs/>
    </w:rPr>
  </w:style>
  <w:style w:type="paragraph" w:customStyle="1" w:styleId="Style29">
    <w:name w:val="Style 29"/>
    <w:basedOn w:val="Normln"/>
    <w:link w:val="CharStyle30"/>
    <w:pPr>
      <w:shd w:val="clear" w:color="auto" w:fill="FFFFFF"/>
    </w:pPr>
    <w:rPr>
      <w:rFonts w:ascii="Arial" w:eastAsia="Arial" w:hAnsi="Arial" w:cs="Arial"/>
      <w:b/>
      <w:bCs/>
      <w:sz w:val="11"/>
      <w:szCs w:val="11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line="228" w:lineRule="auto"/>
      <w:ind w:left="3870"/>
    </w:pPr>
    <w:rPr>
      <w:b/>
      <w:bCs/>
      <w:sz w:val="15"/>
      <w:szCs w:val="15"/>
    </w:rPr>
  </w:style>
  <w:style w:type="paragraph" w:customStyle="1" w:styleId="Style34">
    <w:name w:val="Style 34"/>
    <w:basedOn w:val="Normln"/>
    <w:link w:val="CharStyle35"/>
    <w:pPr>
      <w:shd w:val="clear" w:color="auto" w:fill="FFFFFF"/>
      <w:spacing w:line="286" w:lineRule="auto"/>
    </w:pPr>
    <w:rPr>
      <w:rFonts w:ascii="Arial" w:eastAsia="Arial" w:hAnsi="Arial" w:cs="Arial"/>
      <w:sz w:val="13"/>
      <w:szCs w:val="13"/>
    </w:rPr>
  </w:style>
  <w:style w:type="paragraph" w:customStyle="1" w:styleId="Style39">
    <w:name w:val="Style 39"/>
    <w:basedOn w:val="Normln"/>
    <w:link w:val="CharStyle40"/>
    <w:pPr>
      <w:shd w:val="clear" w:color="auto" w:fill="FFFFFF"/>
      <w:outlineLvl w:val="2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42">
    <w:name w:val="Style 42"/>
    <w:basedOn w:val="Normln"/>
    <w:link w:val="CharStyle43"/>
    <w:pPr>
      <w:shd w:val="clear" w:color="auto" w:fill="FFFFFF"/>
      <w:outlineLvl w:val="0"/>
    </w:pPr>
    <w:rPr>
      <w:rFonts w:ascii="Arial" w:eastAsia="Arial" w:hAnsi="Arial" w:cs="Arial"/>
      <w:b/>
      <w:bCs/>
      <w:i/>
      <w:iCs/>
      <w:sz w:val="50"/>
      <w:szCs w:val="50"/>
      <w:lang w:val="en-US" w:eastAsia="en-US" w:bidi="en-US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180" w:lineRule="auto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Style51">
    <w:name w:val="Style 51"/>
    <w:basedOn w:val="Normln"/>
    <w:link w:val="CharStyle52"/>
    <w:pPr>
      <w:shd w:val="clear" w:color="auto" w:fill="FFFFFF"/>
      <w:spacing w:line="276" w:lineRule="auto"/>
      <w:outlineLvl w:val="1"/>
    </w:pPr>
    <w:rPr>
      <w:rFonts w:ascii="Arial" w:eastAsia="Arial" w:hAnsi="Arial" w:cs="Arial"/>
      <w:sz w:val="38"/>
      <w:szCs w:val="38"/>
    </w:rPr>
  </w:style>
  <w:style w:type="paragraph" w:customStyle="1" w:styleId="Style54">
    <w:name w:val="Style 54"/>
    <w:basedOn w:val="Normln"/>
    <w:link w:val="CharStyle55"/>
    <w:pPr>
      <w:shd w:val="clear" w:color="auto" w:fill="FFFFFF"/>
      <w:spacing w:line="197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Nadpis1Char">
    <w:name w:val="Nadpis 1 Char"/>
    <w:basedOn w:val="Standardnpsmoodstavce"/>
    <w:link w:val="Nadpis1"/>
    <w:uiPriority w:val="9"/>
    <w:rsid w:val="00BE60A2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60A2"/>
    <w:rPr>
      <w:rFonts w:asciiTheme="majorHAnsi" w:eastAsiaTheme="majorEastAsia" w:hAnsiTheme="majorHAnsi" w:cstheme="majorBidi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60A2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E60A2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E60A2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E60A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E60A2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E60A2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E60A2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E60A2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BE60A2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BE60A2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E60A2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E60A2"/>
    <w:rPr>
      <w:color w:val="000000" w:themeColor="text1"/>
      <w:sz w:val="24"/>
      <w:szCs w:val="24"/>
    </w:rPr>
  </w:style>
  <w:style w:type="character" w:styleId="Siln">
    <w:name w:val="Strong"/>
    <w:basedOn w:val="Standardnpsmoodstavce"/>
    <w:uiPriority w:val="22"/>
    <w:qFormat/>
    <w:rsid w:val="00BE60A2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Zdraznn">
    <w:name w:val="Emphasis"/>
    <w:basedOn w:val="Standardnpsmoodstavce"/>
    <w:uiPriority w:val="20"/>
    <w:qFormat/>
    <w:rsid w:val="00BE60A2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Bezmezer">
    <w:name w:val="No Spacing"/>
    <w:uiPriority w:val="1"/>
    <w:qFormat/>
    <w:rsid w:val="00BE60A2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E60A2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BE60A2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E60A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E60A2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BE60A2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BE60A2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BE60A2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E60A2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BE60A2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60A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vla.chmelarova@fcc-grou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hyperlink" Target="mailto:vorisek@nm.c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12</Pages>
  <Words>2885</Words>
  <Characters>17028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Kofroňová Kristýna</cp:lastModifiedBy>
  <cp:revision>34</cp:revision>
  <dcterms:created xsi:type="dcterms:W3CDTF">2021-12-15T13:55:00Z</dcterms:created>
  <dcterms:modified xsi:type="dcterms:W3CDTF">2021-12-16T10:04:00Z</dcterms:modified>
</cp:coreProperties>
</file>