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:rsidR="00AE650C" w:rsidRPr="00AE650C" w:rsidRDefault="004D5023" w:rsidP="00AE650C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>o dodávce</w:t>
      </w:r>
      <w:r w:rsidR="00362C35">
        <w:rPr>
          <w:rFonts w:cs="TimesNewRoman,Bold"/>
          <w:b/>
          <w:bCs/>
          <w:color w:val="000000"/>
          <w:sz w:val="32"/>
          <w:szCs w:val="32"/>
        </w:rPr>
        <w:t xml:space="preserve"> výpočetní techniky</w:t>
      </w:r>
    </w:p>
    <w:p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Filip RADA  - FiMA</w:t>
      </w:r>
    </w:p>
    <w:p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 9. Května 1097/41, 408 01  Rumburk</w:t>
      </w:r>
    </w:p>
    <w:p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DIČ:  CZ7409233315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  </w:t>
      </w:r>
      <w:r w:rsidR="00E61896">
        <w:rPr>
          <w:sz w:val="24"/>
          <w:szCs w:val="24"/>
        </w:rPr>
        <w:t>XXXXXXXXXXXXXX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dodat kupujícímu </w:t>
      </w:r>
      <w:r w:rsidR="000225B8">
        <w:rPr>
          <w:rFonts w:cs="TimesNewRoman"/>
          <w:color w:val="000000"/>
          <w:sz w:val="24"/>
          <w:szCs w:val="24"/>
        </w:rPr>
        <w:t xml:space="preserve">výpočetní </w:t>
      </w:r>
      <w:r w:rsidR="008660A3" w:rsidRPr="00E11B78">
        <w:rPr>
          <w:rFonts w:cs="TimesNewRoman"/>
          <w:color w:val="000000"/>
          <w:sz w:val="24"/>
          <w:szCs w:val="24"/>
        </w:rPr>
        <w:t>techniku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, </w:t>
      </w:r>
      <w:r w:rsidRPr="00E11B78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>Dále jen zařízení.</w:t>
      </w:r>
    </w:p>
    <w:p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0225B8">
        <w:rPr>
          <w:rFonts w:cs="TimesNewRoman"/>
          <w:color w:val="000000"/>
          <w:sz w:val="24"/>
          <w:szCs w:val="24"/>
        </w:rPr>
        <w:t>29</w:t>
      </w:r>
      <w:r w:rsidR="00E11B78">
        <w:rPr>
          <w:rFonts w:cs="TimesNewRoman"/>
          <w:color w:val="000000"/>
          <w:sz w:val="24"/>
          <w:szCs w:val="24"/>
        </w:rPr>
        <w:t>.</w:t>
      </w:r>
      <w:r w:rsidR="00AE689E">
        <w:rPr>
          <w:rFonts w:cs="TimesNewRoman"/>
          <w:color w:val="000000"/>
          <w:sz w:val="24"/>
          <w:szCs w:val="24"/>
        </w:rPr>
        <w:t> 12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531B0C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:rsidR="006B07A9" w:rsidRPr="00BE52F5" w:rsidRDefault="00E61896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</w:t>
      </w:r>
      <w:r w:rsidR="004711DC" w:rsidRPr="00CE2501">
        <w:rPr>
          <w:rFonts w:cs="TimesNewRoman"/>
          <w:color w:val="000000"/>
          <w:sz w:val="24"/>
          <w:szCs w:val="24"/>
        </w:rPr>
        <w:br/>
      </w:r>
    </w:p>
    <w:p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:rsidR="00732244" w:rsidRDefault="00E61896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XXXXXXXXXXXXXX</w:t>
      </w:r>
    </w:p>
    <w:p w:rsidR="00E61896" w:rsidRDefault="00E61896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XXXXXXXXXXXXXX</w:t>
      </w:r>
    </w:p>
    <w:p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Prohlášení prodávajícího</w:t>
      </w:r>
    </w:p>
    <w:p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AE689E">
        <w:rPr>
          <w:rFonts w:cs="TimesNewRoman"/>
          <w:b/>
          <w:color w:val="000000"/>
          <w:sz w:val="24"/>
          <w:szCs w:val="24"/>
        </w:rPr>
        <w:t>174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E689E">
        <w:rPr>
          <w:rFonts w:cs="TimesNewRoman"/>
          <w:b/>
          <w:color w:val="000000"/>
          <w:sz w:val="24"/>
          <w:szCs w:val="24"/>
        </w:rPr>
        <w:t>593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BE52F5">
        <w:rPr>
          <w:rFonts w:cs="TimesNewRoman"/>
          <w:b/>
          <w:color w:val="000000"/>
          <w:sz w:val="24"/>
          <w:szCs w:val="24"/>
        </w:rPr>
        <w:t>2</w:t>
      </w:r>
      <w:r w:rsidR="00AE689E">
        <w:rPr>
          <w:rFonts w:cs="TimesNewRoman"/>
          <w:b/>
          <w:color w:val="000000"/>
          <w:sz w:val="24"/>
          <w:szCs w:val="24"/>
        </w:rPr>
        <w:t>11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E689E">
        <w:rPr>
          <w:rFonts w:cs="TimesNewRoman"/>
          <w:b/>
          <w:color w:val="000000"/>
          <w:sz w:val="24"/>
          <w:szCs w:val="24"/>
        </w:rPr>
        <w:t>258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21%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0225B8">
        <w:rPr>
          <w:rFonts w:cs="TimesNewRoman"/>
          <w:color w:val="000000"/>
          <w:sz w:val="24"/>
          <w:szCs w:val="24"/>
        </w:rPr>
        <w:t xml:space="preserve">počítače </w:t>
      </w:r>
      <w:r w:rsidR="00BE52F5">
        <w:rPr>
          <w:rFonts w:cs="TimesNewRoman"/>
          <w:color w:val="000000"/>
          <w:sz w:val="24"/>
          <w:szCs w:val="24"/>
        </w:rPr>
        <w:t>24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9847F9">
        <w:rPr>
          <w:rFonts w:cs="TimesNewRoman"/>
          <w:color w:val="000000"/>
          <w:sz w:val="24"/>
          <w:szCs w:val="24"/>
        </w:rPr>
        <w:t>měsíců</w:t>
      </w:r>
      <w:r w:rsidR="00FC3892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:rsidR="00E84DD6" w:rsidRPr="00CE2501" w:rsidRDefault="00EA45A7" w:rsidP="00CE3CD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,Bold"/>
          <w:b/>
          <w:bCs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CE3CDD" w:rsidRPr="002436E9">
        <w:rPr>
          <w:rFonts w:cstheme="minorHAnsi"/>
          <w:sz w:val="24"/>
          <w:szCs w:val="24"/>
        </w:rPr>
        <w:t>Podpora prostřednictvím telefonní linky b</w:t>
      </w:r>
      <w:r w:rsidR="00CE3CDD">
        <w:rPr>
          <w:rFonts w:cstheme="minorHAnsi"/>
          <w:sz w:val="24"/>
          <w:szCs w:val="24"/>
        </w:rPr>
        <w:t>ude</w:t>
      </w:r>
      <w:r w:rsidR="00CE3CDD" w:rsidRPr="002436E9">
        <w:rPr>
          <w:rFonts w:cstheme="minorHAnsi"/>
          <w:sz w:val="24"/>
          <w:szCs w:val="24"/>
        </w:rPr>
        <w:t xml:space="preserve"> dostupná v pracovní dny minimálně v době od 9:00 – 16:00 hodin. Podpora prostřednictvím internetu musí umožňovat stahování ovladačů a manuálů adresně pro konkrétní zadané sériové číslo zařízení.</w:t>
      </w:r>
    </w:p>
    <w:p w:rsidR="006B07A9" w:rsidRDefault="006B07A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E11B78">
        <w:rPr>
          <w:rFonts w:cs="TimesNewRoman"/>
          <w:color w:val="000000"/>
          <w:sz w:val="24"/>
          <w:szCs w:val="24"/>
        </w:rPr>
        <w:t> 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prodávajícímu. Prodávající se zavazuje nejpozději do 30 dnů od účinnosti odstoupení 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 s</w:t>
      </w:r>
      <w:r w:rsidR="004D5023" w:rsidRPr="00CE2501">
        <w:rPr>
          <w:rFonts w:cs="TimesNewRoman"/>
          <w:color w:val="000000"/>
          <w:sz w:val="24"/>
          <w:szCs w:val="24"/>
        </w:rPr>
        <w:t>mlouvy zajistit na své náklady odvoz plnění, od jehož dodání bylo odstoupeno.</w:t>
      </w:r>
    </w:p>
    <w:p w:rsidR="00165773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Filip </w:t>
      </w:r>
      <w:proofErr w:type="gramStart"/>
      <w:r w:rsidR="006B07A9">
        <w:rPr>
          <w:rFonts w:cs="TimesNewRoman"/>
          <w:color w:val="000000"/>
          <w:sz w:val="24"/>
          <w:szCs w:val="24"/>
        </w:rPr>
        <w:t xml:space="preserve">Rada                                             </w:t>
      </w:r>
      <w:r w:rsidR="006B07A9" w:rsidRPr="00CE2501">
        <w:rPr>
          <w:rFonts w:cs="TimesNewRoman"/>
          <w:color w:val="000000"/>
          <w:sz w:val="24"/>
          <w:szCs w:val="24"/>
        </w:rPr>
        <w:t>Za</w:t>
      </w:r>
      <w:proofErr w:type="gramEnd"/>
      <w:r w:rsidR="006B07A9" w:rsidRPr="00CE2501">
        <w:rPr>
          <w:rFonts w:cs="TimesNewRoman"/>
          <w:color w:val="000000"/>
          <w:sz w:val="24"/>
          <w:szCs w:val="24"/>
        </w:rPr>
        <w:t xml:space="preserve">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AE689E">
        <w:rPr>
          <w:rFonts w:cs="TimesNewRoman"/>
          <w:color w:val="000000"/>
          <w:sz w:val="24"/>
          <w:szCs w:val="24"/>
        </w:rPr>
        <w:t>15</w:t>
      </w:r>
      <w:r w:rsidR="00764747">
        <w:rPr>
          <w:rFonts w:cs="TimesNewRoman"/>
          <w:color w:val="000000"/>
          <w:sz w:val="24"/>
          <w:szCs w:val="24"/>
        </w:rPr>
        <w:t>.</w:t>
      </w:r>
      <w:r w:rsidR="00BE52F5">
        <w:rPr>
          <w:rFonts w:cs="TimesNewRoman"/>
          <w:color w:val="000000"/>
          <w:sz w:val="24"/>
          <w:szCs w:val="24"/>
        </w:rPr>
        <w:t xml:space="preserve"> 1</w:t>
      </w:r>
      <w:r w:rsidR="00AE689E">
        <w:rPr>
          <w:rFonts w:cs="TimesNewRoman"/>
          <w:color w:val="000000"/>
          <w:sz w:val="24"/>
          <w:szCs w:val="24"/>
        </w:rPr>
        <w:t>2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proofErr w:type="gramStart"/>
      <w:r w:rsidR="00764747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531B0C">
        <w:rPr>
          <w:rFonts w:cs="TimesNewRoman"/>
          <w:color w:val="000000"/>
          <w:sz w:val="24"/>
          <w:szCs w:val="24"/>
        </w:rPr>
        <w:t>1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V </w:t>
      </w:r>
      <w:r w:rsidR="00BE52F5">
        <w:rPr>
          <w:rFonts w:cs="TimesNewRoman"/>
          <w:color w:val="000000"/>
          <w:sz w:val="24"/>
          <w:szCs w:val="24"/>
        </w:rPr>
        <w:t>Rumburku</w:t>
      </w:r>
      <w:proofErr w:type="gramEnd"/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TimesNewRoman"/>
          <w:color w:val="000000"/>
          <w:sz w:val="24"/>
          <w:szCs w:val="24"/>
        </w:rPr>
        <w:t>1</w:t>
      </w:r>
      <w:r w:rsidR="00AE689E">
        <w:rPr>
          <w:rFonts w:cs="TimesNewRoman"/>
          <w:color w:val="000000"/>
          <w:sz w:val="24"/>
          <w:szCs w:val="24"/>
        </w:rPr>
        <w:t>5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BE52F5">
        <w:rPr>
          <w:rFonts w:cs="TimesNewRoman"/>
          <w:color w:val="000000"/>
          <w:sz w:val="24"/>
          <w:szCs w:val="24"/>
        </w:rPr>
        <w:t>1</w:t>
      </w:r>
      <w:r w:rsidR="00AE689E">
        <w:rPr>
          <w:rFonts w:cs="TimesNewRoman"/>
          <w:color w:val="000000"/>
          <w:sz w:val="24"/>
          <w:szCs w:val="24"/>
        </w:rPr>
        <w:t>2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531B0C">
        <w:rPr>
          <w:rFonts w:cs="TimesNewRoman"/>
          <w:color w:val="000000"/>
          <w:sz w:val="24"/>
          <w:szCs w:val="24"/>
        </w:rPr>
        <w:t>1</w:t>
      </w: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E52F5" w:rsidRDefault="00BE52F5" w:rsidP="00BE52F5">
      <w:pPr>
        <w:pStyle w:val="Default"/>
      </w:pPr>
      <w:bookmarkStart w:id="0" w:name="_GoBack"/>
      <w:bookmarkEnd w:id="0"/>
    </w:p>
    <w:sectPr w:rsidR="00BE52F5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E9" w:rsidRDefault="001F19E9" w:rsidP="00B228EA">
      <w:pPr>
        <w:spacing w:after="0" w:line="240" w:lineRule="auto"/>
      </w:pPr>
      <w:r>
        <w:separator/>
      </w:r>
    </w:p>
  </w:endnote>
  <w:endnote w:type="continuationSeparator" w:id="0">
    <w:p w:rsidR="001F19E9" w:rsidRDefault="001F19E9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EA" w:rsidRDefault="00B228EA">
    <w:pPr>
      <w:pStyle w:val="Zpat"/>
      <w:jc w:val="center"/>
    </w:pPr>
  </w:p>
  <w:p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E9" w:rsidRDefault="001F19E9" w:rsidP="00B228EA">
      <w:pPr>
        <w:spacing w:after="0" w:line="240" w:lineRule="auto"/>
      </w:pPr>
      <w:r>
        <w:separator/>
      </w:r>
    </w:p>
  </w:footnote>
  <w:footnote w:type="continuationSeparator" w:id="0">
    <w:p w:rsidR="001F19E9" w:rsidRDefault="001F19E9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3"/>
    <w:rsid w:val="000225B8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B49C2"/>
    <w:rsid w:val="001E6C30"/>
    <w:rsid w:val="001F19E9"/>
    <w:rsid w:val="002554FB"/>
    <w:rsid w:val="00276041"/>
    <w:rsid w:val="002C6D7F"/>
    <w:rsid w:val="002D4BAA"/>
    <w:rsid w:val="002D7F6B"/>
    <w:rsid w:val="002E4A7A"/>
    <w:rsid w:val="003071CE"/>
    <w:rsid w:val="003324D7"/>
    <w:rsid w:val="00345407"/>
    <w:rsid w:val="00362C35"/>
    <w:rsid w:val="00380214"/>
    <w:rsid w:val="0039527C"/>
    <w:rsid w:val="003962BF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650293"/>
    <w:rsid w:val="00670CFD"/>
    <w:rsid w:val="006B07A9"/>
    <w:rsid w:val="006B36E8"/>
    <w:rsid w:val="006C3912"/>
    <w:rsid w:val="006E61ED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A26FE"/>
    <w:rsid w:val="008B26FA"/>
    <w:rsid w:val="008B7DEF"/>
    <w:rsid w:val="008D2FE2"/>
    <w:rsid w:val="00910E2A"/>
    <w:rsid w:val="0092067A"/>
    <w:rsid w:val="00922CF6"/>
    <w:rsid w:val="009521CC"/>
    <w:rsid w:val="00952536"/>
    <w:rsid w:val="0096334A"/>
    <w:rsid w:val="00980362"/>
    <w:rsid w:val="009847F9"/>
    <w:rsid w:val="009938E1"/>
    <w:rsid w:val="009A0892"/>
    <w:rsid w:val="009E10E3"/>
    <w:rsid w:val="00A04318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5C4D"/>
    <w:rsid w:val="00B65EEF"/>
    <w:rsid w:val="00B86265"/>
    <w:rsid w:val="00B945BE"/>
    <w:rsid w:val="00B951A7"/>
    <w:rsid w:val="00BB54C4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350CA"/>
    <w:rsid w:val="00D36C6D"/>
    <w:rsid w:val="00DA175C"/>
    <w:rsid w:val="00DB2E21"/>
    <w:rsid w:val="00DE3F69"/>
    <w:rsid w:val="00E0606C"/>
    <w:rsid w:val="00E11B78"/>
    <w:rsid w:val="00E315B8"/>
    <w:rsid w:val="00E44759"/>
    <w:rsid w:val="00E472FD"/>
    <w:rsid w:val="00E568D0"/>
    <w:rsid w:val="00E61896"/>
    <w:rsid w:val="00E84DD6"/>
    <w:rsid w:val="00E9552E"/>
    <w:rsid w:val="00EA45A7"/>
    <w:rsid w:val="00F07741"/>
    <w:rsid w:val="00F237A2"/>
    <w:rsid w:val="00F80C0B"/>
    <w:rsid w:val="00F90B60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81ED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Herák</dc:creator>
  <cp:keywords>No Restrictions</cp:keywords>
  <cp:lastModifiedBy>Jiri Malypetr</cp:lastModifiedBy>
  <cp:revision>2</cp:revision>
  <cp:lastPrinted>2021-12-16T07:01:00Z</cp:lastPrinted>
  <dcterms:created xsi:type="dcterms:W3CDTF">2021-12-16T10:12:00Z</dcterms:created>
  <dcterms:modified xsi:type="dcterms:W3CDTF">2021-12-16T10:12:00Z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