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1A9" w:rsidRDefault="00AB053E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bookmarkStart w:id="0" w:name="_GoBack"/>
      <w:bookmarkEnd w:id="0"/>
      <w:r>
        <w:rPr>
          <w:rFonts w:ascii="Arial" w:eastAsia="Arial" w:hAnsi="Arial" w:cs="Arial"/>
          <w:spacing w:val="8"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4714" type="#_x0000_t32" style="position:absolute;left:0;text-align:left;margin-left:28.35pt;margin-top:277.85pt;width:14.15pt;height:0;flip:y;z-index:251659264;mso-wrap-distance-left:0;mso-wrap-distance-top:0;mso-wrap-distance-right:0;mso-wrap-distance-bottom:0;mso-position-horizontal-relative:page;mso-position-vertical-relative:page;v-text-anchor:top" filled="t" strokeweight=".5pt">
            <v:stroke dashstyle="dash" startarrowwidth="narrow" startarrowlength="short" endarrowwidth="narrow" endarrowlength="short" color2="black" joinstyle="miter"/>
            <v:textbox>
              <w:txbxContent>
                <w:p w:rsidR="00C211A9" w:rsidRDefault="00C211A9"/>
              </w:txbxContent>
            </v:textbox>
            <w10:wrap anchorx="page" anchory="page"/>
          </v:shape>
        </w:pict>
      </w:r>
      <w:r w:rsidR="00511B19">
        <w:rPr>
          <w:rFonts w:ascii="Arial" w:eastAsia="Arial" w:hAnsi="Arial" w:cs="Arial"/>
          <w:noProof/>
          <w:spacing w:val="12"/>
          <w:lang w:val="cs-CZ" w:eastAsia="cs-CZ"/>
        </w:rPr>
        <w:drawing>
          <wp:inline distT="0" distB="0" distL="0" distR="0">
            <wp:extent cx="204816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lang w:val="cs-CZ"/>
        </w:rPr>
        <w:pict w14:anchorId="31B299A4">
          <v:group id="_x0000_s4050" style="position:absolute;left:0;text-align:left;margin-left:-37.4pt;margin-top:-55.95pt;width:204.6pt;height:118.5pt;z-index:-251658240;mso-position-horizontal-relative:text;mso-position-vertical-relative:text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4712" type="#_x0000_t75" style="position:absolute;left:670;top:89;width:4092;height:2370">
              <v:imagedata r:id="rId9" o:title="CMYK2" gain="69719f"/>
            </v:shape>
            <v:rect id="_x0000_s4713" style="position:absolute;left:1785;top:1811;width:1626;height:408" stroked="f" strokecolor="#333" strokeweight="0">
              <v:imagedata gain="69719f"/>
              <v:textbox inset="0,0"/>
            </v:rect>
          </v:group>
        </w:pict>
      </w:r>
      <w:r w:rsidR="00511B19">
        <w:rPr>
          <w:rFonts w:ascii="Arial" w:eastAsia="Arial" w:hAnsi="Arial" w:cs="Arial"/>
          <w:spacing w:val="14"/>
          <w:lang w:val="cs-CZ"/>
        </w:rPr>
        <w:t xml:space="preserve"> </w:t>
      </w:r>
      <w:r w:rsidR="00511B19"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:rsidR="00C211A9" w:rsidRDefault="00511B19">
      <w:pPr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   Č. smlouvy 541-213-12134/4</w:t>
      </w:r>
    </w:p>
    <w:p w:rsidR="00C211A9" w:rsidRDefault="00C211A9">
      <w:pPr>
        <w:rPr>
          <w:szCs w:val="22"/>
        </w:rPr>
      </w:pPr>
    </w:p>
    <w:p w:rsidR="00C211A9" w:rsidRDefault="00C211A9">
      <w:pPr>
        <w:rPr>
          <w:szCs w:val="22"/>
        </w:rPr>
      </w:pPr>
    </w:p>
    <w:p w:rsidR="00C211A9" w:rsidRDefault="00C211A9">
      <w:pPr>
        <w:rPr>
          <w:b/>
          <w:szCs w:val="22"/>
        </w:rPr>
      </w:pPr>
    </w:p>
    <w:p w:rsidR="00C211A9" w:rsidRDefault="00511B19">
      <w:pPr>
        <w:jc w:val="center"/>
        <w:rPr>
          <w:b/>
          <w:szCs w:val="22"/>
        </w:rPr>
      </w:pPr>
      <w:r>
        <w:rPr>
          <w:b/>
          <w:szCs w:val="22"/>
        </w:rPr>
        <w:t>Dodatek č.4</w:t>
      </w:r>
    </w:p>
    <w:p w:rsidR="00C211A9" w:rsidRDefault="00511B19">
      <w:pPr>
        <w:rPr>
          <w:szCs w:val="22"/>
        </w:rPr>
      </w:pPr>
      <w:r>
        <w:rPr>
          <w:szCs w:val="22"/>
        </w:rPr>
        <w:t>k zápisu o bezúplatném užívání  nebytových prostor, kterým se mění  v níže uvedeném rozsahu zápis o užívání nebytových prostor  ze dne 14.1.2013</w:t>
      </w:r>
    </w:p>
    <w:p w:rsidR="00C211A9" w:rsidRDefault="00C211A9">
      <w:pPr>
        <w:jc w:val="center"/>
        <w:rPr>
          <w:szCs w:val="22"/>
        </w:rPr>
      </w:pPr>
    </w:p>
    <w:p w:rsidR="00C211A9" w:rsidRDefault="00511B19">
      <w:pPr>
        <w:rPr>
          <w:szCs w:val="22"/>
        </w:rPr>
      </w:pPr>
      <w:r>
        <w:rPr>
          <w:szCs w:val="22"/>
        </w:rPr>
        <w:t>uzavřený mezi stranami:</w:t>
      </w:r>
    </w:p>
    <w:p w:rsidR="00C211A9" w:rsidRDefault="00C211A9">
      <w:pPr>
        <w:rPr>
          <w:szCs w:val="22"/>
        </w:rPr>
      </w:pPr>
    </w:p>
    <w:p w:rsidR="00C211A9" w:rsidRDefault="00511B19">
      <w:pPr>
        <w:pStyle w:val="Nadpis11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Ministerstvo zemědělství</w:t>
      </w:r>
    </w:p>
    <w:p w:rsidR="00C211A9" w:rsidRDefault="00511B19">
      <w:pPr>
        <w:pStyle w:val="Nadpis11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se sídlem Těšnov 17, 117 05  Praha 1</w:t>
      </w:r>
    </w:p>
    <w:p w:rsidR="00C211A9" w:rsidRDefault="00511B19">
      <w:pPr>
        <w:rPr>
          <w:szCs w:val="22"/>
        </w:rPr>
      </w:pPr>
      <w:r>
        <w:rPr>
          <w:szCs w:val="22"/>
        </w:rPr>
        <w:t>IČ: 00020478</w:t>
      </w:r>
    </w:p>
    <w:p w:rsidR="00C211A9" w:rsidRDefault="00511B19">
      <w:pPr>
        <w:rPr>
          <w:szCs w:val="22"/>
        </w:rPr>
      </w:pPr>
      <w:r>
        <w:rPr>
          <w:szCs w:val="22"/>
        </w:rPr>
        <w:t>DIČ: není plátce DPH</w:t>
      </w:r>
    </w:p>
    <w:p w:rsidR="00C211A9" w:rsidRDefault="00511B19">
      <w:pPr>
        <w:rPr>
          <w:szCs w:val="22"/>
        </w:rPr>
      </w:pPr>
      <w:r>
        <w:rPr>
          <w:szCs w:val="22"/>
        </w:rPr>
        <w:t>zastoupená Ing. Jiřím Boháčkem, ředitelem odboru vnitřní</w:t>
      </w:r>
      <w:r>
        <w:rPr>
          <w:b/>
          <w:szCs w:val="22"/>
        </w:rPr>
        <w:t xml:space="preserve"> </w:t>
      </w:r>
      <w:r>
        <w:rPr>
          <w:szCs w:val="22"/>
        </w:rPr>
        <w:t>správy</w:t>
      </w:r>
    </w:p>
    <w:p w:rsidR="00C211A9" w:rsidRDefault="00511B19">
      <w:pPr>
        <w:rPr>
          <w:szCs w:val="22"/>
        </w:rPr>
      </w:pPr>
      <w:r>
        <w:rPr>
          <w:szCs w:val="22"/>
        </w:rPr>
        <w:t>bankovní spojení: xxxxxxxxxxxx</w:t>
      </w:r>
    </w:p>
    <w:p w:rsidR="00C211A9" w:rsidRDefault="00511B19">
      <w:pPr>
        <w:pStyle w:val="HLAVICKA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číslo účtu xxxxxxxxxxxxxxx</w:t>
      </w:r>
    </w:p>
    <w:p w:rsidR="00C211A9" w:rsidRDefault="00511B19">
      <w:pPr>
        <w:rPr>
          <w:szCs w:val="22"/>
        </w:rPr>
      </w:pPr>
      <w:r>
        <w:rPr>
          <w:szCs w:val="22"/>
        </w:rPr>
        <w:t xml:space="preserve">(dále jen „předávající“) </w:t>
      </w:r>
    </w:p>
    <w:p w:rsidR="00C211A9" w:rsidRDefault="00C211A9">
      <w:pPr>
        <w:rPr>
          <w:color w:val="0000FF"/>
          <w:szCs w:val="22"/>
        </w:rPr>
      </w:pPr>
    </w:p>
    <w:p w:rsidR="00C211A9" w:rsidRDefault="00C211A9">
      <w:pPr>
        <w:rPr>
          <w:color w:val="0000FF"/>
          <w:szCs w:val="22"/>
        </w:rPr>
      </w:pPr>
    </w:p>
    <w:p w:rsidR="00C211A9" w:rsidRDefault="00511B19">
      <w:pPr>
        <w:rPr>
          <w:szCs w:val="22"/>
        </w:rPr>
      </w:pPr>
      <w:r>
        <w:rPr>
          <w:szCs w:val="22"/>
        </w:rPr>
        <w:t>a</w:t>
      </w:r>
    </w:p>
    <w:p w:rsidR="00C211A9" w:rsidRDefault="00C211A9">
      <w:pPr>
        <w:rPr>
          <w:szCs w:val="22"/>
        </w:rPr>
      </w:pPr>
    </w:p>
    <w:p w:rsidR="00C211A9" w:rsidRDefault="00C211A9">
      <w:pPr>
        <w:rPr>
          <w:szCs w:val="22"/>
        </w:rPr>
      </w:pPr>
    </w:p>
    <w:p w:rsidR="00C211A9" w:rsidRDefault="00511B19">
      <w:pPr>
        <w:rPr>
          <w:szCs w:val="22"/>
        </w:rPr>
      </w:pPr>
      <w:r>
        <w:rPr>
          <w:b/>
          <w:bCs/>
          <w:szCs w:val="22"/>
        </w:rPr>
        <w:t>Státní pozemkový úřad</w:t>
      </w:r>
    </w:p>
    <w:p w:rsidR="00C211A9" w:rsidRDefault="00511B19">
      <w:pPr>
        <w:rPr>
          <w:b/>
          <w:szCs w:val="22"/>
        </w:rPr>
      </w:pPr>
      <w:r>
        <w:rPr>
          <w:b/>
          <w:szCs w:val="22"/>
        </w:rPr>
        <w:t>se sídlem Husinecká 1024/11a, 130 00  Praha 3 – Žižkov</w:t>
      </w:r>
    </w:p>
    <w:p w:rsidR="00C211A9" w:rsidRDefault="00511B19">
      <w:pPr>
        <w:rPr>
          <w:szCs w:val="22"/>
        </w:rPr>
      </w:pPr>
      <w:r>
        <w:rPr>
          <w:szCs w:val="22"/>
        </w:rPr>
        <w:t xml:space="preserve">IČ: 01312774     </w:t>
      </w:r>
    </w:p>
    <w:p w:rsidR="00C211A9" w:rsidRDefault="00511B19">
      <w:pPr>
        <w:rPr>
          <w:szCs w:val="22"/>
        </w:rPr>
      </w:pPr>
      <w:r>
        <w:rPr>
          <w:szCs w:val="22"/>
        </w:rPr>
        <w:t xml:space="preserve">DIČ: CZ01312774 </w:t>
      </w:r>
    </w:p>
    <w:p w:rsidR="00C211A9" w:rsidRDefault="00511B19">
      <w:pPr>
        <w:rPr>
          <w:b/>
          <w:szCs w:val="22"/>
        </w:rPr>
      </w:pPr>
      <w:r>
        <w:rPr>
          <w:szCs w:val="22"/>
        </w:rPr>
        <w:t xml:space="preserve">Organizační složka státu zřízená v souladu se zákonem č. 503/2012 Sb., o Státním pozemkovém úřadu a o změně některých souvisejících zákonů                                         </w:t>
      </w:r>
    </w:p>
    <w:p w:rsidR="00C211A9" w:rsidRDefault="00511B19">
      <w:pPr>
        <w:jc w:val="left"/>
        <w:rPr>
          <w:b/>
          <w:szCs w:val="22"/>
        </w:rPr>
      </w:pPr>
      <w:r>
        <w:rPr>
          <w:szCs w:val="22"/>
        </w:rPr>
        <w:t>zastoupená</w:t>
      </w:r>
      <w:r>
        <w:rPr>
          <w:b/>
          <w:szCs w:val="22"/>
        </w:rPr>
        <w:t xml:space="preserve"> </w:t>
      </w:r>
      <w:r>
        <w:rPr>
          <w:szCs w:val="22"/>
        </w:rPr>
        <w:t>ing. Pavlou Hůlovou</w:t>
      </w:r>
      <w:r>
        <w:rPr>
          <w:b/>
          <w:szCs w:val="22"/>
        </w:rPr>
        <w:t xml:space="preserve">, </w:t>
      </w:r>
      <w:r>
        <w:rPr>
          <w:szCs w:val="22"/>
        </w:rPr>
        <w:t>náměstkyní pro ekonomiku a provoz Státního pozemkového úřadu</w:t>
      </w:r>
    </w:p>
    <w:p w:rsidR="00C211A9" w:rsidRDefault="00511B19">
      <w:pPr>
        <w:rPr>
          <w:szCs w:val="22"/>
        </w:rPr>
      </w:pPr>
      <w:r>
        <w:rPr>
          <w:szCs w:val="22"/>
        </w:rPr>
        <w:t xml:space="preserve">bankovní spojení: xxxxxxxxxxxx                    </w:t>
      </w:r>
    </w:p>
    <w:p w:rsidR="00C211A9" w:rsidRDefault="00511B19">
      <w:pPr>
        <w:rPr>
          <w:szCs w:val="22"/>
        </w:rPr>
      </w:pPr>
      <w:r>
        <w:rPr>
          <w:szCs w:val="22"/>
        </w:rPr>
        <w:t>číslo účtu  xxxxxxxxxxxxxxx</w:t>
      </w:r>
    </w:p>
    <w:p w:rsidR="00C211A9" w:rsidRDefault="00511B19">
      <w:pPr>
        <w:rPr>
          <w:szCs w:val="22"/>
        </w:rPr>
      </w:pPr>
      <w:r>
        <w:rPr>
          <w:szCs w:val="22"/>
        </w:rPr>
        <w:t>(dále jen „uživatel</w:t>
      </w:r>
      <w:r>
        <w:rPr>
          <w:bCs/>
          <w:szCs w:val="22"/>
        </w:rPr>
        <w:t>“)</w:t>
      </w:r>
      <w:r>
        <w:rPr>
          <w:szCs w:val="22"/>
        </w:rPr>
        <w:t xml:space="preserve"> </w:t>
      </w:r>
    </w:p>
    <w:p w:rsidR="00C211A9" w:rsidRDefault="00C211A9">
      <w:pPr>
        <w:rPr>
          <w:b/>
          <w:szCs w:val="22"/>
        </w:rPr>
      </w:pPr>
    </w:p>
    <w:p w:rsidR="00C211A9" w:rsidRDefault="00C211A9">
      <w:pPr>
        <w:rPr>
          <w:b/>
          <w:szCs w:val="22"/>
        </w:rPr>
      </w:pPr>
    </w:p>
    <w:p w:rsidR="00C211A9" w:rsidRDefault="00511B19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Tímto dodatkem  se mezi předávajícím a uživatelem  mění a doplňuje zápis o užívání nebytových prostor  situovaných v Ústí nad Orlicí, ulice Tvardkova 1191, uzavřený dne  14.1.2013 / dále jen zápis/ takto:</w:t>
      </w:r>
    </w:p>
    <w:p w:rsidR="00C211A9" w:rsidRDefault="00C211A9">
      <w:pPr>
        <w:pStyle w:val="Zkladntext"/>
        <w:rPr>
          <w:rFonts w:ascii="Arial" w:eastAsia="Arial" w:hAnsi="Arial" w:cs="Arial"/>
          <w:sz w:val="22"/>
          <w:szCs w:val="22"/>
        </w:rPr>
      </w:pPr>
    </w:p>
    <w:p w:rsidR="00C211A9" w:rsidRDefault="00511B19">
      <w:pPr>
        <w:pStyle w:val="Bezmezer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Dodatkem  se  mění:</w:t>
      </w:r>
    </w:p>
    <w:p w:rsidR="00C211A9" w:rsidRDefault="00C211A9">
      <w:pPr>
        <w:pStyle w:val="Bezmezer1"/>
        <w:rPr>
          <w:rFonts w:ascii="Arial" w:eastAsia="Times New Roman" w:hAnsi="Arial" w:cs="Arial"/>
        </w:rPr>
      </w:pPr>
    </w:p>
    <w:p w:rsidR="00C211A9" w:rsidRDefault="00511B19">
      <w:pPr>
        <w:pStyle w:val="Bezmezer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</w:rPr>
        <w:t>článek II takto</w:t>
      </w:r>
      <w:r>
        <w:rPr>
          <w:rFonts w:ascii="Arial" w:eastAsia="Times New Roman" w:hAnsi="Arial" w:cs="Arial"/>
        </w:rPr>
        <w:t>:</w:t>
      </w:r>
    </w:p>
    <w:p w:rsidR="00C211A9" w:rsidRDefault="00C211A9">
      <w:pPr>
        <w:pStyle w:val="Bezmezer1"/>
        <w:rPr>
          <w:rFonts w:ascii="Arial" w:eastAsia="Times New Roman" w:hAnsi="Arial" w:cs="Arial"/>
        </w:rPr>
      </w:pPr>
    </w:p>
    <w:p w:rsidR="00C211A9" w:rsidRDefault="00511B19">
      <w:pPr>
        <w:pStyle w:val="Zkladntex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1) Předávající předává uživateli do užívání nebytové prostory :</w:t>
      </w:r>
    </w:p>
    <w:p w:rsidR="00C211A9" w:rsidRDefault="00511B19">
      <w:pPr>
        <w:pStyle w:val="Nadpis2"/>
        <w:rPr>
          <w:b/>
          <w:bCs/>
          <w:szCs w:val="22"/>
        </w:rPr>
      </w:pPr>
      <w:r>
        <w:rPr>
          <w:bCs/>
          <w:szCs w:val="22"/>
        </w:rPr>
        <w:t xml:space="preserve">     </w:t>
      </w:r>
      <w:r>
        <w:rPr>
          <w:b/>
          <w:bCs/>
          <w:szCs w:val="22"/>
        </w:rPr>
        <w:t>v suterénu  užívané jako archiv:</w:t>
      </w:r>
    </w:p>
    <w:p w:rsidR="00C211A9" w:rsidRDefault="00511B19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</w:t>
      </w:r>
    </w:p>
    <w:p w:rsidR="00C211A9" w:rsidRDefault="00511B19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místnost č.   12 o výměře 15,75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> </w:t>
      </w:r>
    </w:p>
    <w:p w:rsidR="00C211A9" w:rsidRDefault="00C211A9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</w:p>
    <w:p w:rsidR="00C211A9" w:rsidRDefault="00511B19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</w:t>
      </w:r>
    </w:p>
    <w:p w:rsidR="00C211A9" w:rsidRDefault="00511B19">
      <w:pPr>
        <w:pStyle w:val="Zkladntex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b/>
          <w:sz w:val="22"/>
          <w:szCs w:val="22"/>
        </w:rPr>
        <w:t>ve IV.podlaží užívané jako kanceláře:</w:t>
      </w:r>
    </w:p>
    <w:p w:rsidR="00C211A9" w:rsidRDefault="00511B19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místnost č. 402 o výměře 31,63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C211A9" w:rsidRDefault="00511B19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místnost č. 403 o výměře 18,67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C211A9" w:rsidRDefault="00511B19">
      <w:pPr>
        <w:pStyle w:val="Zkladntext"/>
        <w:contextualSpacing/>
        <w:rPr>
          <w:rFonts w:ascii="Arial" w:eastAsia="Arial" w:hAnsi="Arial" w:cs="Arial"/>
          <w:sz w:val="22"/>
          <w:szCs w:val="22"/>
          <w:vertAlign w:val="superscript"/>
        </w:rPr>
      </w:pPr>
      <w:r>
        <w:rPr>
          <w:rFonts w:ascii="Arial" w:eastAsia="Arial" w:hAnsi="Arial" w:cs="Arial"/>
          <w:sz w:val="22"/>
          <w:szCs w:val="22"/>
        </w:rPr>
        <w:t xml:space="preserve">     místnost č. 404 o výměře 19,00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</w:p>
    <w:p w:rsidR="00C211A9" w:rsidRDefault="00511B19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místnost č. 405 o výměře 18,67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C211A9" w:rsidRDefault="00511B19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místnost č. 406 o výměře 19,00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C211A9" w:rsidRDefault="00511B19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místnost č. 407 o výměře 19,00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C211A9" w:rsidRDefault="00511B19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místnost č. 408 o výměře 18,67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> </w:t>
      </w:r>
    </w:p>
    <w:p w:rsidR="00C211A9" w:rsidRDefault="00511B19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místnost č. 417 o výměře 19,00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> </w:t>
      </w:r>
    </w:p>
    <w:p w:rsidR="00C211A9" w:rsidRDefault="00511B19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místnost č. 418 o výměře 19,00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C211A9" w:rsidRDefault="00511B19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místnost č. 419 o výměře 19,00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</w:p>
    <w:p w:rsidR="00C211A9" w:rsidRDefault="00511B19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místnost č. 419 A o výměře 19,00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 (původně 421) </w:t>
      </w:r>
    </w:p>
    <w:p w:rsidR="00C211A9" w:rsidRDefault="00511B19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místnost č. 420 o výměře 37,46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C211A9" w:rsidRDefault="00C211A9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</w:p>
    <w:p w:rsidR="00C211A9" w:rsidRDefault="00511B19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o celkové výměře kancelářských ploch  258,10 m</w:t>
      </w:r>
      <w:r>
        <w:rPr>
          <w:rFonts w:ascii="Arial" w:eastAsia="Arial" w:hAnsi="Arial" w:cs="Arial"/>
          <w:sz w:val="22"/>
          <w:szCs w:val="22"/>
          <w:vertAlign w:val="superscript"/>
        </w:rPr>
        <w:t xml:space="preserve">2 , </w:t>
      </w:r>
      <w:r>
        <w:rPr>
          <w:rFonts w:ascii="Arial" w:eastAsia="Arial" w:hAnsi="Arial" w:cs="Arial"/>
          <w:sz w:val="22"/>
          <w:szCs w:val="22"/>
        </w:rPr>
        <w:t>ostatní prostory o výměře 15,75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 a </w:t>
      </w:r>
    </w:p>
    <w:p w:rsidR="00C211A9" w:rsidRDefault="00511B19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2</w:t>
      </w:r>
      <w:r>
        <w:rPr>
          <w:rFonts w:ascii="Arial" w:eastAsia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garážovací místa v garáži  pro služební vozidla  uživatele o celkové výměře 35,80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</w:p>
    <w:p w:rsidR="00C211A9" w:rsidRDefault="00511B19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(dále jen „nebytové prostory“)</w:t>
      </w:r>
    </w:p>
    <w:p w:rsidR="00C211A9" w:rsidRDefault="00511B19">
      <w:pPr>
        <w:rPr>
          <w:szCs w:val="22"/>
        </w:rPr>
      </w:pPr>
      <w:r>
        <w:rPr>
          <w:szCs w:val="22"/>
        </w:rPr>
        <w:t>2)  Nebytové prostory se předávají do užívání za účelem jejich využití jako prostor</w:t>
      </w:r>
    </w:p>
    <w:p w:rsidR="00C211A9" w:rsidRDefault="00511B19">
      <w:pPr>
        <w:rPr>
          <w:szCs w:val="22"/>
        </w:rPr>
      </w:pPr>
      <w:r>
        <w:rPr>
          <w:szCs w:val="22"/>
        </w:rPr>
        <w:t xml:space="preserve">     kancelářských a garáží pro služební vozidla, sloužící v souvislosti se zabezpečením úkolů</w:t>
      </w:r>
    </w:p>
    <w:p w:rsidR="00C211A9" w:rsidRDefault="00511B19">
      <w:pPr>
        <w:rPr>
          <w:szCs w:val="22"/>
        </w:rPr>
      </w:pPr>
      <w:r>
        <w:rPr>
          <w:szCs w:val="22"/>
        </w:rPr>
        <w:t xml:space="preserve">     uživatele.</w:t>
      </w:r>
    </w:p>
    <w:p w:rsidR="00C211A9" w:rsidRDefault="00C211A9">
      <w:pPr>
        <w:rPr>
          <w:szCs w:val="22"/>
        </w:rPr>
      </w:pPr>
    </w:p>
    <w:p w:rsidR="00C211A9" w:rsidRDefault="00511B19">
      <w:pPr>
        <w:rPr>
          <w:szCs w:val="22"/>
        </w:rPr>
      </w:pPr>
      <w:r>
        <w:rPr>
          <w:szCs w:val="22"/>
        </w:rPr>
        <w:t xml:space="preserve">3)  Umístění nebytových prostor je vyznačeno v plánu budovy, který tvoří  přílohu č.1 tohoto </w:t>
      </w:r>
    </w:p>
    <w:p w:rsidR="00C211A9" w:rsidRDefault="00511B19">
      <w:pPr>
        <w:rPr>
          <w:szCs w:val="22"/>
        </w:rPr>
      </w:pPr>
      <w:r>
        <w:rPr>
          <w:szCs w:val="22"/>
        </w:rPr>
        <w:t xml:space="preserve">     zápisu, která tvoří její nedílnou součást.</w:t>
      </w:r>
    </w:p>
    <w:p w:rsidR="00C211A9" w:rsidRDefault="00C211A9">
      <w:pPr>
        <w:rPr>
          <w:szCs w:val="22"/>
        </w:rPr>
      </w:pPr>
    </w:p>
    <w:p w:rsidR="00C211A9" w:rsidRDefault="00511B19">
      <w:pPr>
        <w:rPr>
          <w:szCs w:val="22"/>
        </w:rPr>
      </w:pPr>
      <w:r>
        <w:rPr>
          <w:szCs w:val="22"/>
        </w:rPr>
        <w:t>4)  Uživatel se zavazuje, že nebude předávané prostory užívat k jiným účelům, než ke</w:t>
      </w:r>
    </w:p>
    <w:p w:rsidR="00C211A9" w:rsidRDefault="00511B19">
      <w:pPr>
        <w:rPr>
          <w:szCs w:val="22"/>
        </w:rPr>
      </w:pPr>
      <w:r>
        <w:rPr>
          <w:szCs w:val="22"/>
        </w:rPr>
        <w:t xml:space="preserve">     kterým jsou dle tohoto zápisu určeny. Porušení tohoto závazku zakládá právo </w:t>
      </w:r>
    </w:p>
    <w:p w:rsidR="00C211A9" w:rsidRDefault="00511B19">
      <w:pPr>
        <w:rPr>
          <w:szCs w:val="22"/>
        </w:rPr>
      </w:pPr>
      <w:r>
        <w:rPr>
          <w:szCs w:val="22"/>
        </w:rPr>
        <w:t xml:space="preserve">     předávajícího odstoupit od tohoto zápisu.</w:t>
      </w:r>
    </w:p>
    <w:p w:rsidR="00C211A9" w:rsidRDefault="00C211A9">
      <w:pPr>
        <w:rPr>
          <w:szCs w:val="22"/>
        </w:rPr>
      </w:pPr>
    </w:p>
    <w:p w:rsidR="00C211A9" w:rsidRDefault="00511B19">
      <w:pPr>
        <w:rPr>
          <w:szCs w:val="22"/>
        </w:rPr>
      </w:pPr>
      <w:r>
        <w:rPr>
          <w:szCs w:val="22"/>
        </w:rPr>
        <w:t>5)  Smluvní strany konstatují, že výše uvedené prostory jsou způsobilé k řádnému užívání.</w:t>
      </w:r>
    </w:p>
    <w:p w:rsidR="00C211A9" w:rsidRDefault="00C211A9">
      <w:pPr>
        <w:rPr>
          <w:b/>
          <w:szCs w:val="22"/>
        </w:rPr>
      </w:pPr>
    </w:p>
    <w:p w:rsidR="00C211A9" w:rsidRDefault="00C211A9">
      <w:pPr>
        <w:pStyle w:val="Bezmezer1"/>
        <w:rPr>
          <w:rFonts w:ascii="Arial" w:eastAsia="Times New Roman" w:hAnsi="Arial" w:cs="Arial"/>
        </w:rPr>
      </w:pPr>
    </w:p>
    <w:p w:rsidR="00C211A9" w:rsidRDefault="00511B19">
      <w:pPr>
        <w:pStyle w:val="Bezmezer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článek IV takto</w:t>
      </w:r>
      <w:r>
        <w:rPr>
          <w:rFonts w:ascii="Arial" w:eastAsia="Times New Roman" w:hAnsi="Arial" w:cs="Arial"/>
        </w:rPr>
        <w:t>:</w:t>
      </w:r>
    </w:p>
    <w:p w:rsidR="00C211A9" w:rsidRDefault="00C211A9">
      <w:pPr>
        <w:rPr>
          <w:szCs w:val="22"/>
        </w:rPr>
      </w:pPr>
    </w:p>
    <w:p w:rsidR="00C211A9" w:rsidRDefault="00511B19">
      <w:pPr>
        <w:pStyle w:val="Zkladntext"/>
        <w:numPr>
          <w:ilvl w:val="0"/>
          <w:numId w:val="26"/>
        </w:numPr>
        <w:tabs>
          <w:tab w:val="num" w:pos="426"/>
        </w:tabs>
        <w:ind w:left="426"/>
        <w:jc w:val="both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Užívání nebytových prostor strany sjednávají v souladu se zákonem č. 219/2000 Sb., o majetku České republiky a jejím vystupování v právních vztazích, ve znění pozdějších předpisů, jako </w:t>
      </w:r>
      <w:r>
        <w:rPr>
          <w:rFonts w:ascii="Arial" w:eastAsia="Arial" w:hAnsi="Arial" w:cs="Arial"/>
          <w:b/>
          <w:sz w:val="22"/>
          <w:szCs w:val="22"/>
        </w:rPr>
        <w:t>bezúplatné</w:t>
      </w:r>
      <w:r>
        <w:rPr>
          <w:rFonts w:ascii="Arial" w:eastAsia="Arial" w:hAnsi="Arial" w:cs="Arial"/>
          <w:sz w:val="22"/>
          <w:szCs w:val="22"/>
        </w:rPr>
        <w:t xml:space="preserve">.   </w:t>
      </w:r>
    </w:p>
    <w:p w:rsidR="00C211A9" w:rsidRDefault="00C211A9">
      <w:pPr>
        <w:rPr>
          <w:szCs w:val="22"/>
        </w:rPr>
      </w:pPr>
    </w:p>
    <w:p w:rsidR="00C211A9" w:rsidRDefault="00511B19">
      <w:pPr>
        <w:rPr>
          <w:szCs w:val="22"/>
        </w:rPr>
      </w:pPr>
      <w:r>
        <w:rPr>
          <w:szCs w:val="22"/>
        </w:rPr>
        <w:t xml:space="preserve">  2)  Úhrada služeb poskytovaných v souvislosti s užíváním nebytových prostor (teplo,   </w:t>
      </w:r>
    </w:p>
    <w:p w:rsidR="00C211A9" w:rsidRDefault="00511B19">
      <w:pPr>
        <w:rPr>
          <w:szCs w:val="22"/>
        </w:rPr>
      </w:pPr>
      <w:r>
        <w:rPr>
          <w:szCs w:val="22"/>
        </w:rPr>
        <w:t xml:space="preserve">       el.energie, vodné a stočné, opravy a ostatní služby) bude hrazena na základě </w:t>
      </w:r>
    </w:p>
    <w:p w:rsidR="00C211A9" w:rsidRDefault="00511B19">
      <w:pPr>
        <w:rPr>
          <w:szCs w:val="22"/>
        </w:rPr>
      </w:pPr>
      <w:r>
        <w:rPr>
          <w:szCs w:val="22"/>
        </w:rPr>
        <w:t xml:space="preserve">       faktur vystavených pronajímatelem. Výše těchto faktur bude odpovídat skutečným,  </w:t>
      </w:r>
    </w:p>
    <w:p w:rsidR="00C211A9" w:rsidRDefault="00511B19">
      <w:pPr>
        <w:rPr>
          <w:szCs w:val="22"/>
        </w:rPr>
      </w:pPr>
      <w:r>
        <w:rPr>
          <w:szCs w:val="22"/>
        </w:rPr>
        <w:t xml:space="preserve">       případně zálohovým výdajům proplaceným pronajímatelem dodavatelům energií a</w:t>
      </w:r>
    </w:p>
    <w:p w:rsidR="00C211A9" w:rsidRDefault="00511B19">
      <w:pPr>
        <w:rPr>
          <w:szCs w:val="22"/>
        </w:rPr>
      </w:pPr>
      <w:r>
        <w:rPr>
          <w:szCs w:val="22"/>
        </w:rPr>
        <w:t xml:space="preserve">       služeb přepočtených dle podílu skutečně Vámi užívané plochy. Faktury budou </w:t>
      </w:r>
    </w:p>
    <w:p w:rsidR="00C211A9" w:rsidRDefault="00511B19">
      <w:pPr>
        <w:rPr>
          <w:szCs w:val="22"/>
        </w:rPr>
      </w:pPr>
      <w:r>
        <w:rPr>
          <w:szCs w:val="22"/>
        </w:rPr>
        <w:t xml:space="preserve">       vystavovány během roku průběžně, dle hrazených výdajů pronajímatelem. Vyúčtování </w:t>
      </w:r>
    </w:p>
    <w:p w:rsidR="00C211A9" w:rsidRDefault="00511B19">
      <w:pPr>
        <w:rPr>
          <w:szCs w:val="22"/>
        </w:rPr>
      </w:pPr>
      <w:r>
        <w:rPr>
          <w:szCs w:val="22"/>
        </w:rPr>
        <w:t xml:space="preserve">       poskytnutých záloh bude provedeno vždy po skončení ročního zúčtovacího období,</w:t>
      </w:r>
    </w:p>
    <w:p w:rsidR="00C211A9" w:rsidRDefault="00511B19">
      <w:pPr>
        <w:rPr>
          <w:szCs w:val="22"/>
        </w:rPr>
      </w:pPr>
      <w:r>
        <w:rPr>
          <w:szCs w:val="22"/>
        </w:rPr>
        <w:t xml:space="preserve">       nejpozději do 30. 4. následujícího roku. </w:t>
      </w:r>
    </w:p>
    <w:p w:rsidR="00C211A9" w:rsidRDefault="00511B19">
      <w:pPr>
        <w:rPr>
          <w:szCs w:val="22"/>
        </w:rPr>
      </w:pPr>
      <w:r>
        <w:rPr>
          <w:szCs w:val="22"/>
        </w:rPr>
        <w:t xml:space="preserve"> </w:t>
      </w:r>
    </w:p>
    <w:p w:rsidR="00C211A9" w:rsidRDefault="00511B19">
      <w:pPr>
        <w:rPr>
          <w:szCs w:val="22"/>
        </w:rPr>
      </w:pPr>
      <w:r>
        <w:rPr>
          <w:szCs w:val="22"/>
        </w:rPr>
        <w:t xml:space="preserve"> 3)  Měsíčně bude provedena přefakturace úklidu 10 kanceláří o výměře 188,47 m</w:t>
      </w:r>
      <w:r>
        <w:rPr>
          <w:szCs w:val="22"/>
          <w:vertAlign w:val="superscript"/>
        </w:rPr>
        <w:t>2</w:t>
      </w:r>
      <w:r>
        <w:rPr>
          <w:szCs w:val="22"/>
        </w:rPr>
        <w:t xml:space="preserve"> za cenu </w:t>
      </w:r>
    </w:p>
    <w:p w:rsidR="00C211A9" w:rsidRDefault="00511B19">
      <w:pPr>
        <w:rPr>
          <w:szCs w:val="22"/>
        </w:rPr>
      </w:pPr>
      <w:r>
        <w:rPr>
          <w:szCs w:val="22"/>
        </w:rPr>
        <w:t xml:space="preserve">      5.500,- Kč.</w:t>
      </w:r>
    </w:p>
    <w:p w:rsidR="00C211A9" w:rsidRDefault="00C211A9">
      <w:pPr>
        <w:rPr>
          <w:szCs w:val="22"/>
        </w:rPr>
      </w:pPr>
    </w:p>
    <w:p w:rsidR="00C211A9" w:rsidRDefault="00C211A9">
      <w:pPr>
        <w:rPr>
          <w:szCs w:val="22"/>
        </w:rPr>
      </w:pPr>
    </w:p>
    <w:p w:rsidR="00C211A9" w:rsidRDefault="00511B19">
      <w:pPr>
        <w:rPr>
          <w:szCs w:val="22"/>
        </w:rPr>
      </w:pPr>
      <w:r>
        <w:rPr>
          <w:szCs w:val="22"/>
        </w:rPr>
        <w:t>Ostatní ustanovení „Smlouvy o užívání nebytových prostor“  zůstávají beze změny.</w:t>
      </w:r>
    </w:p>
    <w:p w:rsidR="00C211A9" w:rsidRDefault="00C211A9">
      <w:pPr>
        <w:rPr>
          <w:szCs w:val="22"/>
        </w:rPr>
      </w:pPr>
    </w:p>
    <w:p w:rsidR="00C211A9" w:rsidRDefault="00511B19">
      <w:pPr>
        <w:rPr>
          <w:szCs w:val="22"/>
        </w:rPr>
      </w:pPr>
      <w:r>
        <w:rPr>
          <w:szCs w:val="22"/>
        </w:rPr>
        <w:t>Tento dodatek č. 2 nabývá účinnosti od 1.2.2016</w:t>
      </w:r>
    </w:p>
    <w:p w:rsidR="00C211A9" w:rsidRDefault="00C211A9">
      <w:pPr>
        <w:rPr>
          <w:szCs w:val="22"/>
        </w:rPr>
      </w:pPr>
    </w:p>
    <w:p w:rsidR="00C211A9" w:rsidRDefault="00511B19">
      <w:pPr>
        <w:rPr>
          <w:szCs w:val="22"/>
        </w:rPr>
      </w:pPr>
      <w:r>
        <w:rPr>
          <w:szCs w:val="22"/>
        </w:rPr>
        <w:t xml:space="preserve">Tento dodatek je sepsán ve 4 výtiscích. Po oboustranném podpisu přebírá  předávající i uživatel 2 výtisky. </w:t>
      </w:r>
    </w:p>
    <w:p w:rsidR="00C211A9" w:rsidRDefault="00C211A9">
      <w:pPr>
        <w:rPr>
          <w:szCs w:val="22"/>
        </w:rPr>
      </w:pPr>
    </w:p>
    <w:p w:rsidR="00C211A9" w:rsidRDefault="00C211A9">
      <w:pPr>
        <w:rPr>
          <w:szCs w:val="22"/>
        </w:rPr>
      </w:pPr>
    </w:p>
    <w:p w:rsidR="00C211A9" w:rsidRDefault="00511B19">
      <w:pPr>
        <w:rPr>
          <w:szCs w:val="22"/>
        </w:rPr>
      </w:pPr>
      <w:r>
        <w:rPr>
          <w:szCs w:val="22"/>
        </w:rPr>
        <w:t>V Praze dne: 1. 2. 2016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C211A9" w:rsidRDefault="00C211A9">
      <w:pPr>
        <w:rPr>
          <w:szCs w:val="22"/>
        </w:rPr>
      </w:pPr>
    </w:p>
    <w:p w:rsidR="00C211A9" w:rsidRDefault="00C211A9">
      <w:pPr>
        <w:rPr>
          <w:szCs w:val="22"/>
        </w:rPr>
      </w:pPr>
    </w:p>
    <w:p w:rsidR="00C211A9" w:rsidRDefault="00C211A9">
      <w:pPr>
        <w:rPr>
          <w:szCs w:val="22"/>
        </w:rPr>
      </w:pPr>
    </w:p>
    <w:p w:rsidR="00C211A9" w:rsidRDefault="00C211A9">
      <w:pPr>
        <w:rPr>
          <w:szCs w:val="22"/>
        </w:rPr>
      </w:pPr>
    </w:p>
    <w:p w:rsidR="00C211A9" w:rsidRDefault="00C211A9">
      <w:pPr>
        <w:rPr>
          <w:szCs w:val="22"/>
        </w:rPr>
      </w:pPr>
    </w:p>
    <w:p w:rsidR="00C211A9" w:rsidRDefault="00C211A9">
      <w:pPr>
        <w:rPr>
          <w:szCs w:val="22"/>
        </w:rPr>
      </w:pPr>
    </w:p>
    <w:p w:rsidR="00C211A9" w:rsidRDefault="00C211A9">
      <w:pPr>
        <w:rPr>
          <w:szCs w:val="22"/>
        </w:rPr>
      </w:pPr>
    </w:p>
    <w:p w:rsidR="00C211A9" w:rsidRDefault="00C211A9">
      <w:pPr>
        <w:pStyle w:val="Zkladntext"/>
        <w:rPr>
          <w:rFonts w:ascii="Arial" w:eastAsia="Arial" w:hAnsi="Arial" w:cs="Arial"/>
          <w:sz w:val="22"/>
          <w:szCs w:val="22"/>
        </w:rPr>
      </w:pPr>
    </w:p>
    <w:p w:rsidR="00C211A9" w:rsidRDefault="00511B19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……………………………………..                         ……………………………….….</w:t>
      </w:r>
    </w:p>
    <w:p w:rsidR="00C211A9" w:rsidRDefault="00511B19">
      <w:pPr>
        <w:pStyle w:val="Zkladntex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ČR – Ministerstvo zemědělství       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 xml:space="preserve">      Státní pozemkový úřad</w:t>
      </w:r>
    </w:p>
    <w:p w:rsidR="00C211A9" w:rsidRDefault="00511B19">
      <w:pPr>
        <w:pStyle w:val="Zkladntex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Ing. Jiří Boháček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 xml:space="preserve">             Ing. Milan Rybka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</w:p>
    <w:p w:rsidR="00C211A9" w:rsidRDefault="00511B19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ředitel odboru vnitřní správy Mze</w:t>
      </w:r>
      <w:r>
        <w:rPr>
          <w:rFonts w:ascii="Arial" w:eastAsia="Arial" w:hAnsi="Arial" w:cs="Arial"/>
          <w:sz w:val="22"/>
          <w:szCs w:val="22"/>
        </w:rPr>
        <w:tab/>
        <w:t xml:space="preserve">         </w:t>
      </w:r>
      <w:r>
        <w:rPr>
          <w:rFonts w:ascii="Arial" w:eastAsia="Arial" w:hAnsi="Arial" w:cs="Arial"/>
          <w:sz w:val="22"/>
          <w:szCs w:val="22"/>
        </w:rPr>
        <w:tab/>
        <w:t xml:space="preserve">  1. náměstek ústředního ředitele </w:t>
      </w:r>
    </w:p>
    <w:p w:rsidR="00C211A9" w:rsidRDefault="00511B19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</w:t>
      </w:r>
    </w:p>
    <w:p w:rsidR="00C211A9" w:rsidRDefault="00511B19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   (předávající)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(uživatel)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:rsidR="00C211A9" w:rsidRDefault="00C211A9">
      <w:pPr>
        <w:rPr>
          <w:szCs w:val="22"/>
        </w:rPr>
      </w:pPr>
    </w:p>
    <w:p w:rsidR="00C211A9" w:rsidRDefault="00C211A9">
      <w:pPr>
        <w:rPr>
          <w:szCs w:val="22"/>
        </w:rPr>
      </w:pPr>
    </w:p>
    <w:p w:rsidR="00C211A9" w:rsidRDefault="00C211A9">
      <w:pPr>
        <w:rPr>
          <w:szCs w:val="22"/>
        </w:rPr>
      </w:pPr>
    </w:p>
    <w:p w:rsidR="00C211A9" w:rsidRDefault="00C211A9">
      <w:pPr>
        <w:rPr>
          <w:szCs w:val="22"/>
        </w:rPr>
      </w:pPr>
    </w:p>
    <w:sectPr w:rsidR="00C211A9">
      <w:headerReference w:type="even" r:id="rId10"/>
      <w:headerReference w:type="default" r:id="rId11"/>
      <w:footerReference w:type="default" r:id="rId12"/>
      <w:headerReference w:type="first" r:id="rId13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53E" w:rsidRDefault="00AB053E">
      <w:r>
        <w:separator/>
      </w:r>
    </w:p>
  </w:endnote>
  <w:endnote w:type="continuationSeparator" w:id="0">
    <w:p w:rsidR="00AB053E" w:rsidRDefault="00AB0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1A9" w:rsidRDefault="00511B19">
    <w:pPr>
      <w:pStyle w:val="Zpat"/>
    </w:pPr>
    <w:fldSimple w:instr=" DOCVARIABLE  dms_cj  \* MERGEFORMAT ">
      <w:r>
        <w:rPr>
          <w:bCs/>
        </w:rPr>
        <w:t>6584/2016-MZE-12134</w:t>
      </w:r>
    </w:fldSimple>
    <w:r>
      <w:tab/>
    </w:r>
    <w:r>
      <w:fldChar w:fldCharType="begin"/>
    </w:r>
    <w:r>
      <w:instrText>PAGE   \* MERGEFORMAT</w:instrText>
    </w:r>
    <w:r>
      <w:fldChar w:fldCharType="separate"/>
    </w:r>
    <w:r w:rsidR="00CD3E12">
      <w:rPr>
        <w:noProof/>
      </w:rPr>
      <w:t>3</w:t>
    </w:r>
    <w:r>
      <w:fldChar w:fldCharType="end"/>
    </w:r>
  </w:p>
  <w:p w:rsidR="00C211A9" w:rsidRDefault="00C211A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53E" w:rsidRDefault="00AB053E">
      <w:r>
        <w:separator/>
      </w:r>
    </w:p>
  </w:footnote>
  <w:footnote w:type="continuationSeparator" w:id="0">
    <w:p w:rsidR="00AB053E" w:rsidRDefault="00AB0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1A9" w:rsidRDefault="00AB053E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542fa111-39f1-4236-b8a2-d8c3886ea409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1A9" w:rsidRDefault="00AB053E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f7cfce74-e9ee-4e09-ba27-84774a94a8e9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1A9" w:rsidRDefault="00AB053E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e9ef3dae-ebf4-4cce-99a6-bc0282b79350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544E"/>
    <w:multiLevelType w:val="multilevel"/>
    <w:tmpl w:val="11DEE3D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">
    <w:nsid w:val="12882AE1"/>
    <w:multiLevelType w:val="multilevel"/>
    <w:tmpl w:val="8BFA7FD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>
    <w:nsid w:val="17140553"/>
    <w:multiLevelType w:val="multilevel"/>
    <w:tmpl w:val="FDBA88B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>
    <w:nsid w:val="1AA56834"/>
    <w:multiLevelType w:val="multilevel"/>
    <w:tmpl w:val="CAB6314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>
    <w:nsid w:val="238A27DC"/>
    <w:multiLevelType w:val="multilevel"/>
    <w:tmpl w:val="A2DA1F4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>
    <w:nsid w:val="247434F9"/>
    <w:multiLevelType w:val="multilevel"/>
    <w:tmpl w:val="05CA50F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6">
    <w:nsid w:val="2BA773EC"/>
    <w:multiLevelType w:val="multilevel"/>
    <w:tmpl w:val="E5F80AF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>
    <w:nsid w:val="2F481746"/>
    <w:multiLevelType w:val="multilevel"/>
    <w:tmpl w:val="260ABB9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>
    <w:nsid w:val="31AD64A0"/>
    <w:multiLevelType w:val="multilevel"/>
    <w:tmpl w:val="55B69AA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>
    <w:nsid w:val="33DB0640"/>
    <w:multiLevelType w:val="multilevel"/>
    <w:tmpl w:val="EEE4535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>
    <w:nsid w:val="3D2A4575"/>
    <w:multiLevelType w:val="multilevel"/>
    <w:tmpl w:val="CE38B0F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>
    <w:nsid w:val="423A65BF"/>
    <w:multiLevelType w:val="multilevel"/>
    <w:tmpl w:val="370AC71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>
    <w:nsid w:val="533154DF"/>
    <w:multiLevelType w:val="multilevel"/>
    <w:tmpl w:val="57944E0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>
    <w:nsid w:val="54A61F48"/>
    <w:multiLevelType w:val="multilevel"/>
    <w:tmpl w:val="73BC5A0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>
    <w:nsid w:val="5BA212A4"/>
    <w:multiLevelType w:val="multilevel"/>
    <w:tmpl w:val="9C04E37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>
    <w:nsid w:val="5CFE3760"/>
    <w:multiLevelType w:val="multilevel"/>
    <w:tmpl w:val="23BE922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>
    <w:nsid w:val="5DBA0188"/>
    <w:multiLevelType w:val="multilevel"/>
    <w:tmpl w:val="C4B0101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7">
    <w:nsid w:val="612218DC"/>
    <w:multiLevelType w:val="multilevel"/>
    <w:tmpl w:val="DC62165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>
    <w:nsid w:val="76A15890"/>
    <w:multiLevelType w:val="multilevel"/>
    <w:tmpl w:val="9E12C1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AC53A98"/>
    <w:multiLevelType w:val="multilevel"/>
    <w:tmpl w:val="24263BC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>
    <w:nsid w:val="7B011E1E"/>
    <w:multiLevelType w:val="multilevel"/>
    <w:tmpl w:val="5846ED1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>
    <w:nsid w:val="7C7F5EF4"/>
    <w:multiLevelType w:val="multilevel"/>
    <w:tmpl w:val="21FC0D3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2">
    <w:nsid w:val="7CAB0CB3"/>
    <w:multiLevelType w:val="multilevel"/>
    <w:tmpl w:val="AC06D86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>
    <w:nsid w:val="7CAE76C9"/>
    <w:multiLevelType w:val="multilevel"/>
    <w:tmpl w:val="9FA6456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4">
    <w:nsid w:val="7CE002F3"/>
    <w:multiLevelType w:val="multilevel"/>
    <w:tmpl w:val="B38465B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17"/>
  </w:num>
  <w:num w:numId="2">
    <w:abstractNumId w:val="15"/>
  </w:num>
  <w:num w:numId="3">
    <w:abstractNumId w:val="7"/>
  </w:num>
  <w:num w:numId="4">
    <w:abstractNumId w:val="23"/>
  </w:num>
  <w:num w:numId="5">
    <w:abstractNumId w:val="10"/>
  </w:num>
  <w:num w:numId="6">
    <w:abstractNumId w:val="22"/>
  </w:num>
  <w:num w:numId="7">
    <w:abstractNumId w:val="11"/>
  </w:num>
  <w:num w:numId="8">
    <w:abstractNumId w:val="8"/>
  </w:num>
  <w:num w:numId="9">
    <w:abstractNumId w:val="0"/>
  </w:num>
  <w:num w:numId="10">
    <w:abstractNumId w:val="4"/>
  </w:num>
  <w:num w:numId="11">
    <w:abstractNumId w:val="21"/>
  </w:num>
  <w:num w:numId="12">
    <w:abstractNumId w:val="2"/>
  </w:num>
  <w:num w:numId="13">
    <w:abstractNumId w:val="14"/>
  </w:num>
  <w:num w:numId="14">
    <w:abstractNumId w:val="9"/>
  </w:num>
  <w:num w:numId="15">
    <w:abstractNumId w:val="24"/>
  </w:num>
  <w:num w:numId="16">
    <w:abstractNumId w:val="16"/>
  </w:num>
  <w:num w:numId="17">
    <w:abstractNumId w:val="18"/>
  </w:num>
  <w:num w:numId="18">
    <w:abstractNumId w:val="13"/>
  </w:num>
  <w:num w:numId="19">
    <w:abstractNumId w:val="1"/>
  </w:num>
  <w:num w:numId="20">
    <w:abstractNumId w:val="20"/>
  </w:num>
  <w:num w:numId="21">
    <w:abstractNumId w:val="19"/>
  </w:num>
  <w:num w:numId="22">
    <w:abstractNumId w:val="6"/>
  </w:num>
  <w:num w:numId="23">
    <w:abstractNumId w:val="3"/>
  </w:num>
  <w:num w:numId="24">
    <w:abstractNumId w:val="5"/>
  </w:num>
  <w:num w:numId="25">
    <w:abstractNumId w:val="12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defaultTabStop w:val="708"/>
  <w:hyphenationZone w:val="425"/>
  <w:characterSpacingControl w:val="doNotCompress"/>
  <w:hdrShapeDefaults>
    <o:shapedefaults v:ext="edit" spidmax="471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2417199566584/2016-MZE-12134"/>
    <w:docVar w:name="dms_cj" w:val="6584/2016-MZE-12134"/>
    <w:docVar w:name="dms_datum" w:val="2. 2. 2016"/>
    <w:docVar w:name="dms_datum_textem" w:val="2. února 2016"/>
    <w:docVar w:name="dms_datum_vzniku" w:val="2. 2. 2016 12:42:46"/>
    <w:docVar w:name="dms_nadrizeny_reditel" w:val="JUDr. Jiří Jirsa, MEPP, Ph.D."/>
    <w:docVar w:name="dms_ObsahParam1" w:val=" "/>
    <w:docVar w:name="dms_otisk_razitka" w:val=" "/>
    <w:docVar w:name="dms_PNASpravce" w:val=" "/>
    <w:docVar w:name="dms_podpisova_dolozka" w:val="Ing. Jiří Boháček_x000d__x000a_ředitel odboru"/>
    <w:docVar w:name="dms_podpisova_dolozka_funkce" w:val="ředitel odboru"/>
    <w:docVar w:name="dms_podpisova_dolozka_jmeno" w:val="Ing. Jiří Boháček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50VD3877/2013-12134"/>
    <w:docVar w:name="dms_spravce_jmeno" w:val="Jaroslava Bernovská"/>
    <w:docVar w:name="dms_spravce_mail" w:val="Jaroslava.Bernovska@mze.cz"/>
    <w:docVar w:name="dms_spravce_telefon" w:val="725832107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30"/>
    <w:docVar w:name="dms_utvar_nazev" w:val="Odbor vnitřní správy"/>
    <w:docVar w:name="dms_utvar_nazev_adresa" w:val="12130 - Odbor vnitřní správy_x000d__x000a_Těšnov 65/17_x000d__x000a_Nové Město_x000d__x000a_110 00 Praha 1"/>
    <w:docVar w:name="dms_utvar_nazev_do_dopisu" w:val="Odbor vnitřní správy"/>
    <w:docVar w:name="dms_vec" w:val="Dodatek č. 4 SPÚ "/>
    <w:docVar w:name="dms_VNVSpravce" w:val=" "/>
    <w:docVar w:name="dms_zpracoval_jmeno" w:val="Jaroslava Bernovská"/>
    <w:docVar w:name="dms_zpracoval_mail" w:val="Jaroslava.Bernovska@mze.cz"/>
    <w:docVar w:name="dms_zpracoval_telefon" w:val="725832107"/>
  </w:docVars>
  <w:rsids>
    <w:rsidRoot w:val="00C211A9"/>
    <w:rsid w:val="00511B19"/>
    <w:rsid w:val="00AB053E"/>
    <w:rsid w:val="00C211A9"/>
    <w:rsid w:val="00CD3E12"/>
    <w:rsid w:val="00FF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5"/>
    <o:shapelayout v:ext="edit">
      <o:idmap v:ext="edit" data="1,3,4"/>
      <o:rules v:ext="edit">
        <o:r id="V:Rule1" type="connector" idref="#_x0000_s471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unhideWhenUsed/>
    <w:pPr>
      <w:jc w:val="left"/>
    </w:pPr>
    <w:rPr>
      <w:rFonts w:ascii="Times New Roman" w:eastAsia="Times New Roman" w:hAnsi="Times New Roman" w:cs="Times New Roman"/>
      <w:sz w:val="26"/>
      <w:szCs w:val="20"/>
      <w:lang w:eastAsia="cs-CZ"/>
    </w:rPr>
  </w:style>
  <w:style w:type="character" w:customStyle="1" w:styleId="ZkladntextChar">
    <w:name w:val="Základní text Char"/>
    <w:basedOn w:val="Standardnpsmoodstavce"/>
    <w:rPr>
      <w:sz w:val="26"/>
      <w:lang w:eastAsia="cs-CZ"/>
    </w:rPr>
  </w:style>
  <w:style w:type="paragraph" w:customStyle="1" w:styleId="Nadpis11">
    <w:name w:val="Nadpis 11"/>
    <w:basedOn w:val="Normln"/>
    <w:qFormat/>
    <w:pPr>
      <w:keepNext/>
      <w:spacing w:before="240" w:after="60"/>
      <w:jc w:val="left"/>
      <w:outlineLvl w:val="0"/>
    </w:pPr>
    <w:rPr>
      <w:rFonts w:ascii="Cambria" w:eastAsia="Cambria" w:hAnsi="Cambria" w:cs="Cambria"/>
      <w:b/>
      <w:bCs/>
      <w:kern w:val="32"/>
      <w:sz w:val="32"/>
      <w:szCs w:val="32"/>
      <w:lang w:eastAsia="cs-CZ"/>
    </w:rPr>
  </w:style>
  <w:style w:type="paragraph" w:customStyle="1" w:styleId="HLAVICKA">
    <w:name w:val="HLAVICKA"/>
    <w:basedOn w:val="Normln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line="288" w:lineRule="auto"/>
      <w:jc w:val="left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Bezmezer1">
    <w:name w:val="Bez mezer1"/>
    <w:qFormat/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unhideWhenUsed/>
    <w:pPr>
      <w:jc w:val="left"/>
    </w:pPr>
    <w:rPr>
      <w:rFonts w:ascii="Times New Roman" w:eastAsia="Times New Roman" w:hAnsi="Times New Roman" w:cs="Times New Roman"/>
      <w:sz w:val="26"/>
      <w:szCs w:val="20"/>
      <w:lang w:eastAsia="cs-CZ"/>
    </w:rPr>
  </w:style>
  <w:style w:type="character" w:customStyle="1" w:styleId="ZkladntextChar">
    <w:name w:val="Základní text Char"/>
    <w:basedOn w:val="Standardnpsmoodstavce"/>
    <w:rPr>
      <w:sz w:val="26"/>
      <w:lang w:eastAsia="cs-CZ"/>
    </w:rPr>
  </w:style>
  <w:style w:type="paragraph" w:customStyle="1" w:styleId="Nadpis11">
    <w:name w:val="Nadpis 11"/>
    <w:basedOn w:val="Normln"/>
    <w:qFormat/>
    <w:pPr>
      <w:keepNext/>
      <w:spacing w:before="240" w:after="60"/>
      <w:jc w:val="left"/>
      <w:outlineLvl w:val="0"/>
    </w:pPr>
    <w:rPr>
      <w:rFonts w:ascii="Cambria" w:eastAsia="Cambria" w:hAnsi="Cambria" w:cs="Cambria"/>
      <w:b/>
      <w:bCs/>
      <w:kern w:val="32"/>
      <w:sz w:val="32"/>
      <w:szCs w:val="32"/>
      <w:lang w:eastAsia="cs-CZ"/>
    </w:rPr>
  </w:style>
  <w:style w:type="paragraph" w:customStyle="1" w:styleId="HLAVICKA">
    <w:name w:val="HLAVICKA"/>
    <w:basedOn w:val="Normln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line="288" w:lineRule="auto"/>
      <w:jc w:val="left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Bezmezer1">
    <w:name w:val="Bez mezer1"/>
    <w:qFormat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Procházková Božena</cp:lastModifiedBy>
  <cp:revision>2</cp:revision>
  <dcterms:created xsi:type="dcterms:W3CDTF">2017-04-05T10:52:00Z</dcterms:created>
  <dcterms:modified xsi:type="dcterms:W3CDTF">2017-04-05T10:52:00Z</dcterms:modified>
</cp:coreProperties>
</file>