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98" w:rsidRDefault="00F669F8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sz w:val="22"/>
          <w:szCs w:val="22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A10D98" w:rsidRDefault="00A10D98"/>
              </w:txbxContent>
            </v:textbox>
            <w10:wrap anchorx="page" anchory="page"/>
          </v:shape>
        </w:pict>
      </w:r>
      <w:r w:rsidR="00883609">
        <w:rPr>
          <w:rFonts w:ascii="Arial" w:eastAsia="Arial" w:hAnsi="Arial" w:cs="Arial"/>
          <w:noProof/>
          <w:spacing w:val="12"/>
          <w:sz w:val="22"/>
          <w:szCs w:val="2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  <w:lang w:val="cs-CZ"/>
        </w:rPr>
        <w:pict w14:anchorId="1CF77B9C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883609"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 w:rsidR="00883609">
        <w:rPr>
          <w:rFonts w:ascii="Arial" w:eastAsia="Arial" w:hAnsi="Arial" w:cs="Arial"/>
          <w:b/>
          <w:spacing w:val="8"/>
          <w:sz w:val="22"/>
          <w:szCs w:val="22"/>
          <w:lang w:val="cs-CZ"/>
        </w:rPr>
        <w:t xml:space="preserve"> </w:t>
      </w:r>
    </w:p>
    <w:p w:rsidR="00A10D98" w:rsidRDefault="00A10D98">
      <w:pPr>
        <w:rPr>
          <w:szCs w:val="22"/>
        </w:rPr>
      </w:pPr>
    </w:p>
    <w:p w:rsidR="00A10D98" w:rsidRDefault="00883609">
      <w:pPr>
        <w:pStyle w:val="Zhlav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Č. zápisu 541-2013-12134/5</w:t>
      </w:r>
    </w:p>
    <w:p w:rsidR="00A10D98" w:rsidRDefault="00A10D98">
      <w:pPr>
        <w:jc w:val="center"/>
        <w:rPr>
          <w:b/>
          <w:szCs w:val="22"/>
        </w:rPr>
      </w:pPr>
    </w:p>
    <w:p w:rsidR="00A10D98" w:rsidRDefault="00A10D98">
      <w:pPr>
        <w:jc w:val="center"/>
        <w:rPr>
          <w:b/>
          <w:szCs w:val="22"/>
        </w:rPr>
      </w:pPr>
    </w:p>
    <w:p w:rsidR="00A10D98" w:rsidRDefault="00A10D98">
      <w:pPr>
        <w:jc w:val="center"/>
        <w:rPr>
          <w:b/>
          <w:szCs w:val="22"/>
        </w:rPr>
      </w:pPr>
    </w:p>
    <w:p w:rsidR="00A10D98" w:rsidRDefault="00883609">
      <w:pPr>
        <w:jc w:val="center"/>
        <w:rPr>
          <w:b/>
          <w:szCs w:val="22"/>
        </w:rPr>
      </w:pPr>
      <w:r>
        <w:rPr>
          <w:b/>
          <w:szCs w:val="22"/>
        </w:rPr>
        <w:t>Dodatek č.5</w:t>
      </w:r>
    </w:p>
    <w:p w:rsidR="00A10D98" w:rsidRDefault="00883609">
      <w:pPr>
        <w:rPr>
          <w:szCs w:val="22"/>
        </w:rPr>
      </w:pPr>
      <w:r>
        <w:rPr>
          <w:szCs w:val="22"/>
        </w:rPr>
        <w:t>k zápisu o bezúplatném užívání  nebytových prostor, kterým se mění  v níže uvedeném rozsahu zápis o užívání nebytových prostor  ze dne 14.1.2013</w:t>
      </w:r>
    </w:p>
    <w:p w:rsidR="00A10D98" w:rsidRDefault="00A10D98">
      <w:pPr>
        <w:jc w:val="center"/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>uzavřený mezi stranami:</w:t>
      </w:r>
    </w:p>
    <w:p w:rsidR="00A10D98" w:rsidRDefault="00A10D98">
      <w:pPr>
        <w:rPr>
          <w:szCs w:val="22"/>
        </w:rPr>
      </w:pPr>
    </w:p>
    <w:p w:rsidR="00A10D98" w:rsidRDefault="00883609">
      <w:pPr>
        <w:pStyle w:val="Nadpis11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Ministerstvo zemědělství</w:t>
      </w:r>
    </w:p>
    <w:p w:rsidR="00A10D98" w:rsidRDefault="00883609">
      <w:pPr>
        <w:pStyle w:val="Nadpis11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se sídlem Těšnov 17, 117 05  Praha 1</w:t>
      </w:r>
    </w:p>
    <w:p w:rsidR="00A10D98" w:rsidRDefault="00883609">
      <w:pPr>
        <w:rPr>
          <w:szCs w:val="22"/>
        </w:rPr>
      </w:pPr>
      <w:r>
        <w:rPr>
          <w:szCs w:val="22"/>
        </w:rPr>
        <w:t>IČ: 00020478</w:t>
      </w:r>
    </w:p>
    <w:p w:rsidR="00A10D98" w:rsidRDefault="00883609">
      <w:pPr>
        <w:rPr>
          <w:szCs w:val="22"/>
        </w:rPr>
      </w:pPr>
      <w:r>
        <w:rPr>
          <w:szCs w:val="22"/>
        </w:rPr>
        <w:t>DIČ: není plátce DPH</w:t>
      </w:r>
    </w:p>
    <w:p w:rsidR="00A10D98" w:rsidRDefault="00883609">
      <w:pPr>
        <w:rPr>
          <w:szCs w:val="22"/>
        </w:rPr>
      </w:pPr>
      <w:r>
        <w:rPr>
          <w:szCs w:val="22"/>
        </w:rPr>
        <w:t>Za kterou jedná Ing. Jiřím Boháčkem, ředitelem odboru vnitřní</w:t>
      </w:r>
      <w:r>
        <w:rPr>
          <w:b/>
          <w:szCs w:val="22"/>
        </w:rPr>
        <w:t xml:space="preserve"> </w:t>
      </w:r>
      <w:r>
        <w:rPr>
          <w:szCs w:val="22"/>
        </w:rPr>
        <w:t>správy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bankovní spojení: </w:t>
      </w:r>
      <w:r w:rsidR="006C2968">
        <w:rPr>
          <w:szCs w:val="22"/>
        </w:rPr>
        <w:t>xxxxxxxxxxxx</w:t>
      </w:r>
    </w:p>
    <w:p w:rsidR="00A10D98" w:rsidRDefault="00883609">
      <w:pPr>
        <w:pStyle w:val="HLAVICKA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</w:t>
      </w:r>
      <w:r w:rsidR="006C2968">
        <w:rPr>
          <w:rFonts w:ascii="Arial" w:eastAsia="Arial" w:hAnsi="Arial" w:cs="Arial"/>
          <w:sz w:val="22"/>
          <w:szCs w:val="22"/>
        </w:rPr>
        <w:t>xxxxxxxxxxxxxxxx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(dále jen „předávající“) </w:t>
      </w:r>
    </w:p>
    <w:p w:rsidR="00A10D98" w:rsidRDefault="00A10D98">
      <w:pPr>
        <w:rPr>
          <w:color w:val="0000FF"/>
          <w:szCs w:val="22"/>
        </w:rPr>
      </w:pPr>
    </w:p>
    <w:p w:rsidR="00A10D98" w:rsidRDefault="00A10D98">
      <w:pPr>
        <w:rPr>
          <w:color w:val="0000FF"/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>a</w:t>
      </w: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b/>
          <w:bCs/>
          <w:szCs w:val="22"/>
        </w:rPr>
        <w:t>Státní pozemkový úřad</w:t>
      </w:r>
    </w:p>
    <w:p w:rsidR="00A10D98" w:rsidRDefault="00883609">
      <w:pPr>
        <w:rPr>
          <w:b/>
          <w:szCs w:val="22"/>
        </w:rPr>
      </w:pPr>
      <w:r>
        <w:rPr>
          <w:b/>
          <w:szCs w:val="22"/>
        </w:rPr>
        <w:t>se sídlem Husinecká 1024/11a, 130 00  Praha 3 – Žižkov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IČ: 01312774    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DIČ: CZ01312774 </w:t>
      </w:r>
    </w:p>
    <w:p w:rsidR="00A10D98" w:rsidRDefault="00883609">
      <w:pPr>
        <w:rPr>
          <w:b/>
          <w:szCs w:val="22"/>
        </w:rPr>
      </w:pPr>
      <w:r>
        <w:rPr>
          <w:szCs w:val="22"/>
        </w:rPr>
        <w:t xml:space="preserve">Organizační složka státu zřízená v souladu se zákonem č. 503/2012 Sb., o Státním pozemkovém úřadu a o změně některých souvisejících zákonů                                         </w:t>
      </w:r>
    </w:p>
    <w:p w:rsidR="00A10D98" w:rsidRDefault="00883609">
      <w:pPr>
        <w:jc w:val="left"/>
        <w:rPr>
          <w:b/>
          <w:szCs w:val="22"/>
        </w:rPr>
      </w:pPr>
      <w:r>
        <w:rPr>
          <w:szCs w:val="22"/>
        </w:rPr>
        <w:t>zastoupený Ing. Milanem Rybkou, ředitelem Sekce provozních činností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bankovní spojení: </w:t>
      </w:r>
      <w:r w:rsidR="006C2968">
        <w:rPr>
          <w:szCs w:val="22"/>
        </w:rPr>
        <w:t>xxxxxxxxxxxxxxxx</w:t>
      </w:r>
    </w:p>
    <w:p w:rsidR="00A10D98" w:rsidRDefault="00883609">
      <w:pPr>
        <w:rPr>
          <w:szCs w:val="22"/>
        </w:rPr>
      </w:pPr>
      <w:r>
        <w:rPr>
          <w:szCs w:val="22"/>
        </w:rPr>
        <w:t>číslo účtu</w:t>
      </w:r>
      <w:r w:rsidR="006C2968">
        <w:rPr>
          <w:szCs w:val="22"/>
        </w:rPr>
        <w:t>:</w:t>
      </w:r>
      <w:r>
        <w:rPr>
          <w:szCs w:val="22"/>
        </w:rPr>
        <w:t xml:space="preserve"> </w:t>
      </w:r>
      <w:r w:rsidR="006C2968">
        <w:rPr>
          <w:szCs w:val="22"/>
        </w:rPr>
        <w:t>xxxxxxxxxxxxxxxxx</w:t>
      </w:r>
      <w:r>
        <w:rPr>
          <w:szCs w:val="22"/>
        </w:rPr>
        <w:t xml:space="preserve"> </w:t>
      </w:r>
    </w:p>
    <w:p w:rsidR="00A10D98" w:rsidRDefault="00883609">
      <w:pPr>
        <w:rPr>
          <w:szCs w:val="22"/>
        </w:rPr>
      </w:pPr>
      <w:r>
        <w:rPr>
          <w:szCs w:val="22"/>
        </w:rPr>
        <w:t>(dále jen „uživatel</w:t>
      </w:r>
      <w:r>
        <w:rPr>
          <w:bCs/>
          <w:szCs w:val="22"/>
        </w:rPr>
        <w:t>“)</w:t>
      </w:r>
      <w:r>
        <w:rPr>
          <w:szCs w:val="22"/>
        </w:rPr>
        <w:t xml:space="preserve"> </w:t>
      </w:r>
    </w:p>
    <w:p w:rsidR="00A10D98" w:rsidRDefault="00A10D98">
      <w:pPr>
        <w:rPr>
          <w:b/>
          <w:szCs w:val="22"/>
        </w:rPr>
      </w:pPr>
    </w:p>
    <w:p w:rsidR="00A10D98" w:rsidRDefault="00A10D98">
      <w:pPr>
        <w:rPr>
          <w:b/>
          <w:szCs w:val="22"/>
        </w:rPr>
      </w:pPr>
    </w:p>
    <w:p w:rsidR="00A10D98" w:rsidRDefault="0088360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 se mezi předávajícím a uživatelem  mění a doplňuje zápis o užívání nebytových prostor  situovaných v Ústí nad Orlicí, ulice Tvardkova 1191, uzavřený dne  14.1.2013 / dále jen zápis/ takto:</w:t>
      </w:r>
    </w:p>
    <w:p w:rsidR="00A10D98" w:rsidRDefault="00A10D98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A10D98" w:rsidRDefault="0088360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Dodatkem  se  mění:</w:t>
      </w:r>
    </w:p>
    <w:p w:rsidR="00A10D98" w:rsidRDefault="00A10D98">
      <w:pPr>
        <w:pStyle w:val="Bezmezer1"/>
        <w:rPr>
          <w:rFonts w:ascii="Arial" w:eastAsia="Times New Roman" w:hAnsi="Arial" w:cs="Arial"/>
        </w:rPr>
      </w:pPr>
    </w:p>
    <w:p w:rsidR="00A10D98" w:rsidRDefault="0088360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článek II takto</w:t>
      </w:r>
      <w:r>
        <w:rPr>
          <w:rFonts w:ascii="Arial" w:eastAsia="Times New Roman" w:hAnsi="Arial" w:cs="Arial"/>
        </w:rPr>
        <w:t>:</w:t>
      </w:r>
    </w:p>
    <w:p w:rsidR="00A10D98" w:rsidRDefault="00A10D98">
      <w:pPr>
        <w:pStyle w:val="Bezmezer1"/>
        <w:rPr>
          <w:rFonts w:ascii="Arial" w:eastAsia="Times New Roman" w:hAnsi="Arial" w:cs="Arial"/>
        </w:rPr>
      </w:pPr>
    </w:p>
    <w:p w:rsidR="00A10D98" w:rsidRDefault="00883609">
      <w:pPr>
        <w:pStyle w:val="Zkladn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Předávající předává uživateli do užívání nebytové prostory :</w:t>
      </w:r>
    </w:p>
    <w:p w:rsidR="00A10D98" w:rsidRDefault="00883609">
      <w:pPr>
        <w:pStyle w:val="Nadpis2"/>
        <w:rPr>
          <w:b/>
          <w:bCs/>
          <w:i w:val="0"/>
          <w:szCs w:val="22"/>
        </w:rPr>
      </w:pPr>
      <w:r>
        <w:rPr>
          <w:bCs/>
          <w:i w:val="0"/>
          <w:szCs w:val="22"/>
        </w:rPr>
        <w:t xml:space="preserve">     </w:t>
      </w:r>
      <w:r>
        <w:rPr>
          <w:b/>
          <w:bCs/>
          <w:i w:val="0"/>
          <w:szCs w:val="22"/>
        </w:rPr>
        <w:t>v suterénu  užívané jako archiv: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  12 o výměře 15,75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A10D98" w:rsidRDefault="00A10D98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A10D98" w:rsidRDefault="0088360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</w:t>
      </w:r>
    </w:p>
    <w:p w:rsidR="00A10D98" w:rsidRDefault="00883609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ve IV.podlaží užívané jako kanceláře: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402 o výměře 31,63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403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404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405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406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408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418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A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(původně 421)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420 o výměře 37,46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10D98" w:rsidRDefault="00A10D98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o celkové výměře kancelářských ploch  258,10 m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2 , </w:t>
      </w:r>
      <w:r>
        <w:rPr>
          <w:rFonts w:ascii="Arial" w:eastAsia="Arial" w:hAnsi="Arial" w:cs="Arial"/>
          <w:sz w:val="22"/>
          <w:szCs w:val="22"/>
        </w:rPr>
        <w:t>ostatní prostory o výměře 15,75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a 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2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garážovací místa v garáži  pro služební vozidla  uživatele o celkové výměře 35,80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A10D98" w:rsidRDefault="00883609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a dále 1 parkovací místo v prostorách dvora (dále jen „nebytové prostory“)</w:t>
      </w:r>
    </w:p>
    <w:p w:rsidR="00A10D98" w:rsidRDefault="00883609">
      <w:pPr>
        <w:rPr>
          <w:szCs w:val="22"/>
        </w:rPr>
      </w:pPr>
      <w:r>
        <w:rPr>
          <w:szCs w:val="22"/>
        </w:rPr>
        <w:t>2)  Nebytové prostory se předávají do užívání za účelem jejich využití jako prostor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kancelářských a garáží pro služební vozidla, sloužící v souvislosti se zabezpečením úkolů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uživatele.</w:t>
      </w: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 xml:space="preserve">3)  Umístění nebytových prostor je vyznačeno v plánu budovy, který tvoří  přílohu č.1 tohoto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zápisu, která tvoří její nedílnou součást.</w:t>
      </w: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>4)  Uživatel se zavazuje, že nebude předávané prostory užívat k jiným účelům, než ke kterým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jsou dle tohoto zápisu určeny. Porušení tohoto závazku zakládá právo předávajícího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odstoupit od tohoto zápisu.</w:t>
      </w: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>5)  Smluvní strany konstatují, že výše uvedené prostory jsou způsobilé k řádnému užívání.</w:t>
      </w:r>
    </w:p>
    <w:p w:rsidR="00A10D98" w:rsidRDefault="00A10D98">
      <w:pPr>
        <w:rPr>
          <w:b/>
          <w:szCs w:val="22"/>
        </w:rPr>
      </w:pPr>
    </w:p>
    <w:p w:rsidR="00A10D98" w:rsidRDefault="00A10D98">
      <w:pPr>
        <w:pStyle w:val="Bezmezer1"/>
        <w:rPr>
          <w:rFonts w:ascii="Arial" w:eastAsia="Times New Roman" w:hAnsi="Arial" w:cs="Arial"/>
        </w:rPr>
      </w:pPr>
    </w:p>
    <w:p w:rsidR="00A10D98" w:rsidRDefault="00883609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článek IV takto</w:t>
      </w:r>
      <w:r>
        <w:rPr>
          <w:rFonts w:ascii="Arial" w:eastAsia="Times New Roman" w:hAnsi="Arial" w:cs="Arial"/>
        </w:rPr>
        <w:t>:</w:t>
      </w:r>
    </w:p>
    <w:p w:rsidR="00A10D98" w:rsidRDefault="00A10D98">
      <w:pPr>
        <w:rPr>
          <w:szCs w:val="22"/>
        </w:rPr>
      </w:pPr>
    </w:p>
    <w:p w:rsidR="00A10D98" w:rsidRDefault="00883609">
      <w:pPr>
        <w:pStyle w:val="Zkladntext"/>
        <w:numPr>
          <w:ilvl w:val="0"/>
          <w:numId w:val="22"/>
        </w:numPr>
        <w:tabs>
          <w:tab w:val="num" w:pos="426"/>
        </w:tabs>
        <w:ind w:left="426"/>
        <w:jc w:val="both"/>
        <w:rPr>
          <w:rFonts w:ascii="Arial" w:eastAsia="Arial" w:hAnsi="Arial" w:cs="Arial"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Užívání nebytových prostor strany sjednávají v souladu se zákonem č. 219/2000 Sb., o majetku České republiky a jejím vystupování v právních vztazích, ve znění pozdějších předpisů, jako </w:t>
      </w:r>
      <w:r>
        <w:rPr>
          <w:rFonts w:ascii="Arial" w:eastAsia="Arial" w:hAnsi="Arial" w:cs="Arial"/>
          <w:b/>
          <w:sz w:val="22"/>
          <w:szCs w:val="22"/>
        </w:rPr>
        <w:t>bezúplatné</w:t>
      </w:r>
      <w:r>
        <w:rPr>
          <w:rFonts w:ascii="Arial" w:eastAsia="Arial" w:hAnsi="Arial" w:cs="Arial"/>
          <w:sz w:val="22"/>
          <w:szCs w:val="22"/>
        </w:rPr>
        <w:t xml:space="preserve">.   </w:t>
      </w: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 xml:space="preserve">  2)  Úhrada služeb poskytovaných v souvislosti s užíváním nebytových prostor (teplo,  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 el.energie, vodné a stočné, opravy a ostatní služby) bude hrazena na základě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 faktur vystavených pronajímatelem. Výše těchto faktur bude odpovídat skutečným, 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 případně zálohovým výdajům proplaceným pronajímatelem dodavatelům energií a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 služeb přepočtených dle podílu skutečně Vámi užívané plochy. Faktury budou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 vystavovány během roku průběžně, dle hrazených výdajů pronajímatelem. Vyúčtování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 poskytnutých záloh bude provedeno vždy po skončení ročního zúčtovacího období,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 nejpozději do 30. 4. následujícího roku. 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3)  Měsíčně bude provedena přefakturace úklidu 10 kanceláří o výměře 197,45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za cenu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     5.500,- Kč.</w:t>
      </w: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>Ostatní ustanovení „Zápisu o bezplatném  užívání nebytových prostor“  zůstávají beze změny.</w:t>
      </w: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>Tento dodatek č. 5 nabývá účinnosti od 1.1.2017</w:t>
      </w: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 xml:space="preserve">Tento dodatek je sepsán ve 4 výtiscích. Po oboustranném podpisu přebírá  předávající i uživatel 2 výtisky. </w:t>
      </w: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>V Praze dne:</w:t>
      </w:r>
      <w:r w:rsidR="003E2BBF">
        <w:rPr>
          <w:szCs w:val="22"/>
        </w:rPr>
        <w:t xml:space="preserve"> 8.12.2016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0177B">
        <w:rPr>
          <w:szCs w:val="22"/>
        </w:rPr>
        <w:t>V Praze dne 8.12.2016</w:t>
      </w: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A10D98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A10D98" w:rsidRDefault="0088360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……………………………………..                               ……………………………….….</w:t>
      </w:r>
    </w:p>
    <w:p w:rsidR="00A10D98" w:rsidRDefault="00883609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ČR – Ministerstvo zemědělství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Státní pozemkový úřad</w:t>
      </w:r>
    </w:p>
    <w:p w:rsidR="00A10D98" w:rsidRDefault="00883609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Ing. Jiří Boháček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Ing. Milan Rybka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A10D98" w:rsidRDefault="0088360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ředitel odboru vnitřní správy Mze</w:t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  <w:t xml:space="preserve">  ředitel Sekce provozních činností</w:t>
      </w:r>
    </w:p>
    <w:p w:rsidR="00A10D98" w:rsidRDefault="0088360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A10D98" w:rsidRDefault="00883609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(předávající)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(uživatel)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A10D98">
      <w:pPr>
        <w:rPr>
          <w:szCs w:val="22"/>
        </w:rPr>
      </w:pPr>
    </w:p>
    <w:p w:rsidR="00A10D98" w:rsidRDefault="00883609">
      <w:pPr>
        <w:rPr>
          <w:szCs w:val="22"/>
        </w:rPr>
      </w:pPr>
      <w:r>
        <w:rPr>
          <w:szCs w:val="22"/>
        </w:rPr>
        <w:t xml:space="preserve"> </w:t>
      </w:r>
    </w:p>
    <w:p w:rsidR="00A10D98" w:rsidRDefault="00883609">
      <w:pPr>
        <w:rPr>
          <w:szCs w:val="22"/>
        </w:rPr>
      </w:pPr>
      <w:r>
        <w:rPr>
          <w:szCs w:val="22"/>
        </w:rPr>
        <w:t xml:space="preserve"> </w:t>
      </w:r>
    </w:p>
    <w:sectPr w:rsidR="00A10D98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F8" w:rsidRDefault="00F669F8">
      <w:r>
        <w:separator/>
      </w:r>
    </w:p>
  </w:endnote>
  <w:endnote w:type="continuationSeparator" w:id="0">
    <w:p w:rsidR="00F669F8" w:rsidRDefault="00F6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98" w:rsidRDefault="00F669F8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883609">
      <w:rPr>
        <w:bCs/>
      </w:rPr>
      <w:t>71556/2016-MZE-12131</w:t>
    </w:r>
    <w:r>
      <w:rPr>
        <w:bCs/>
      </w:rPr>
      <w:fldChar w:fldCharType="end"/>
    </w:r>
    <w:r w:rsidR="00883609">
      <w:tab/>
    </w:r>
    <w:r w:rsidR="00883609">
      <w:fldChar w:fldCharType="begin"/>
    </w:r>
    <w:r w:rsidR="00883609">
      <w:instrText>PAGE   \* MERGEFORMAT</w:instrText>
    </w:r>
    <w:r w:rsidR="00883609">
      <w:fldChar w:fldCharType="separate"/>
    </w:r>
    <w:r w:rsidR="00504F24">
      <w:rPr>
        <w:noProof/>
      </w:rPr>
      <w:t>3</w:t>
    </w:r>
    <w:r w:rsidR="00883609">
      <w:fldChar w:fldCharType="end"/>
    </w:r>
  </w:p>
  <w:p w:rsidR="00A10D98" w:rsidRDefault="00A10D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F8" w:rsidRDefault="00F669F8">
      <w:r>
        <w:separator/>
      </w:r>
    </w:p>
  </w:footnote>
  <w:footnote w:type="continuationSeparator" w:id="0">
    <w:p w:rsidR="00F669F8" w:rsidRDefault="00F6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98" w:rsidRDefault="00F669F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e25d543-0336-4282-94bd-7aff8e58b93d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98" w:rsidRDefault="00F669F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f8a74ea-2511-44a5-8d76-18ef3233dec5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98" w:rsidRDefault="00F669F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c2825cc-bac4-4188-8164-6a57d152be7e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6AB"/>
    <w:multiLevelType w:val="multilevel"/>
    <w:tmpl w:val="EE9EB0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5827FDD"/>
    <w:multiLevelType w:val="multilevel"/>
    <w:tmpl w:val="511AE9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628520A"/>
    <w:multiLevelType w:val="multilevel"/>
    <w:tmpl w:val="44B064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F1B2670"/>
    <w:multiLevelType w:val="multilevel"/>
    <w:tmpl w:val="B3B247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49B3762"/>
    <w:multiLevelType w:val="multilevel"/>
    <w:tmpl w:val="B09AB8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713785E"/>
    <w:multiLevelType w:val="multilevel"/>
    <w:tmpl w:val="EEA27B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D667F41"/>
    <w:multiLevelType w:val="multilevel"/>
    <w:tmpl w:val="8F6249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5420FA3"/>
    <w:multiLevelType w:val="multilevel"/>
    <w:tmpl w:val="2FB8F4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D1B332B"/>
    <w:multiLevelType w:val="multilevel"/>
    <w:tmpl w:val="791499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56E0901"/>
    <w:multiLevelType w:val="multilevel"/>
    <w:tmpl w:val="1772EE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57A3E72"/>
    <w:multiLevelType w:val="multilevel"/>
    <w:tmpl w:val="AAB674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79B7C5E"/>
    <w:multiLevelType w:val="multilevel"/>
    <w:tmpl w:val="FD0C4A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9F40011"/>
    <w:multiLevelType w:val="multilevel"/>
    <w:tmpl w:val="6C0A21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635359A"/>
    <w:multiLevelType w:val="multilevel"/>
    <w:tmpl w:val="390A91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6DF1120"/>
    <w:multiLevelType w:val="multilevel"/>
    <w:tmpl w:val="414420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95C0907"/>
    <w:multiLevelType w:val="multilevel"/>
    <w:tmpl w:val="284C6D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55E32A2B"/>
    <w:multiLevelType w:val="multilevel"/>
    <w:tmpl w:val="FC6666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8F73883"/>
    <w:multiLevelType w:val="multilevel"/>
    <w:tmpl w:val="97369F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6771347D"/>
    <w:multiLevelType w:val="multilevel"/>
    <w:tmpl w:val="DFD825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70012933"/>
    <w:multiLevelType w:val="multilevel"/>
    <w:tmpl w:val="94B8D7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79DD6741"/>
    <w:multiLevelType w:val="multilevel"/>
    <w:tmpl w:val="FF76FF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9"/>
  </w:num>
  <w:num w:numId="10">
    <w:abstractNumId w:val="15"/>
  </w:num>
  <w:num w:numId="11">
    <w:abstractNumId w:val="6"/>
  </w:num>
  <w:num w:numId="12">
    <w:abstractNumId w:val="7"/>
  </w:num>
  <w:num w:numId="13">
    <w:abstractNumId w:val="16"/>
  </w:num>
  <w:num w:numId="14">
    <w:abstractNumId w:val="4"/>
  </w:num>
  <w:num w:numId="15">
    <w:abstractNumId w:val="17"/>
  </w:num>
  <w:num w:numId="16">
    <w:abstractNumId w:val="12"/>
  </w:num>
  <w:num w:numId="17">
    <w:abstractNumId w:val="0"/>
  </w:num>
  <w:num w:numId="18">
    <w:abstractNumId w:val="8"/>
  </w:num>
  <w:num w:numId="19">
    <w:abstractNumId w:val="3"/>
  </w:num>
  <w:num w:numId="20">
    <w:abstractNumId w:val="11"/>
  </w:num>
  <w:num w:numId="21">
    <w:abstractNumId w:val="1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231972671556/2016-MZE-12131"/>
    <w:docVar w:name="dms_cj" w:val="71556/2016-MZE-12131"/>
    <w:docVar w:name="dms_datum" w:val="9. 12. 2016"/>
    <w:docVar w:name="dms_datum_textem" w:val="9. prosince 2016"/>
    <w:docVar w:name="dms_datum_vzniku" w:val="8. 12. 2016 13:48:27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5 - SPÚ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A10D98"/>
    <w:rsid w:val="000C5F58"/>
    <w:rsid w:val="003E2BBF"/>
    <w:rsid w:val="00504F24"/>
    <w:rsid w:val="00666A6B"/>
    <w:rsid w:val="006C2968"/>
    <w:rsid w:val="00883609"/>
    <w:rsid w:val="00A10D98"/>
    <w:rsid w:val="00E40D12"/>
    <w:rsid w:val="00F0177B"/>
    <w:rsid w:val="00F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rPr>
      <w:rFonts w:ascii="Arial" w:eastAsia="Arial" w:hAnsi="Arial" w:cs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2017-04-05T10:51:00Z</dcterms:created>
  <dcterms:modified xsi:type="dcterms:W3CDTF">2017-04-05T10:51:00Z</dcterms:modified>
</cp:coreProperties>
</file>