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6" w:firstLine="0"/>
        <w:jc w:val="center"/>
        <w:rPr>
          <w:sz w:val="32"/>
        </w:rPr>
      </w:pPr>
      <w:r>
        <w:rPr>
          <w:color w:val="808080"/>
          <w:sz w:val="32"/>
        </w:rPr>
        <w:t>ke smlouvě č. 1190400223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/>
        <w:t>Dolní</w:t>
      </w:r>
      <w:r>
        <w:rPr>
          <w:spacing w:val="-3"/>
        </w:rPr>
        <w:t> </w:t>
      </w:r>
      <w:r>
        <w:rPr/>
        <w:t>Olešnice</w:t>
      </w:r>
    </w:p>
    <w:p>
      <w:pPr>
        <w:pStyle w:val="BodyText"/>
        <w:tabs>
          <w:tab w:pos="2982" w:val="left" w:leader="none"/>
        </w:tabs>
        <w:ind w:left="102" w:right="1050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Dolní Olešnice, Dolní Olešnice 39, 543 71 Hostinné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00580171</w:t>
      </w:r>
    </w:p>
    <w:p>
      <w:pPr>
        <w:pStyle w:val="BodyText"/>
        <w:tabs>
          <w:tab w:pos="2982" w:val="left" w:leader="none"/>
        </w:tabs>
        <w:ind w:left="102" w:right="2921"/>
      </w:pPr>
      <w:r>
        <w:rPr/>
        <w:t>zastoupená:</w:t>
        <w:tab/>
        <w:t>Radoslavou</w:t>
      </w:r>
      <w:r>
        <w:rPr>
          <w:spacing w:val="-2"/>
        </w:rPr>
        <w:t> </w:t>
      </w:r>
      <w:r>
        <w:rPr/>
        <w:t>C e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starostkou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line="237" w:lineRule="auto" w:before="190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7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1190400223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6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13.</w:t>
      </w:r>
      <w:r>
        <w:rPr>
          <w:spacing w:val="-1"/>
        </w:rPr>
        <w:t> </w:t>
      </w:r>
      <w:r>
        <w:rPr/>
        <w:t>7.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114" w:hanging="428"/>
        <w:jc w:val="left"/>
        <w:rPr>
          <w:sz w:val="20"/>
        </w:rPr>
      </w:pPr>
      <w:r>
        <w:rPr>
          <w:sz w:val="20"/>
        </w:rPr>
        <w:t>Článek</w:t>
      </w:r>
      <w:r>
        <w:rPr>
          <w:spacing w:val="11"/>
          <w:sz w:val="20"/>
        </w:rPr>
        <w:t> </w:t>
      </w:r>
      <w:r>
        <w:rPr>
          <w:sz w:val="20"/>
        </w:rPr>
        <w:t>III,</w:t>
      </w:r>
      <w:r>
        <w:rPr>
          <w:spacing w:val="10"/>
          <w:sz w:val="20"/>
        </w:rPr>
        <w:t> </w:t>
      </w:r>
      <w:r>
        <w:rPr>
          <w:sz w:val="20"/>
        </w:rPr>
        <w:t>bod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mění</w:t>
      </w:r>
      <w:r>
        <w:rPr>
          <w:spacing w:val="11"/>
          <w:sz w:val="20"/>
        </w:rPr>
        <w:t> </w:t>
      </w:r>
      <w:r>
        <w:rPr>
          <w:sz w:val="20"/>
        </w:rPr>
        <w:t>v tom</w:t>
      </w:r>
      <w:r>
        <w:rPr>
          <w:spacing w:val="9"/>
          <w:sz w:val="20"/>
        </w:rPr>
        <w:t> </w:t>
      </w:r>
      <w:r>
        <w:rPr>
          <w:sz w:val="20"/>
        </w:rPr>
        <w:t>smyslu,</w:t>
      </w:r>
      <w:r>
        <w:rPr>
          <w:spacing w:val="9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12"/>
          <w:sz w:val="20"/>
        </w:rPr>
        <w:t> </w:t>
      </w:r>
      <w:r>
        <w:rPr>
          <w:sz w:val="20"/>
        </w:rPr>
        <w:t>splnění</w:t>
      </w:r>
      <w:r>
        <w:rPr>
          <w:spacing w:val="11"/>
          <w:sz w:val="20"/>
        </w:rPr>
        <w:t> </w:t>
      </w:r>
      <w:r>
        <w:rPr>
          <w:sz w:val="20"/>
        </w:rPr>
        <w:t>příslušných</w:t>
      </w:r>
      <w:r>
        <w:rPr>
          <w:spacing w:val="12"/>
          <w:sz w:val="20"/>
        </w:rPr>
        <w:t> </w:t>
      </w:r>
      <w:r>
        <w:rPr>
          <w:sz w:val="20"/>
        </w:rPr>
        <w:t>podmínek</w:t>
      </w:r>
      <w:r>
        <w:rPr>
          <w:spacing w:val="8"/>
          <w:sz w:val="20"/>
        </w:rPr>
        <w:t> </w:t>
      </w:r>
      <w:r>
        <w:rPr>
          <w:sz w:val="20"/>
        </w:rPr>
        <w:t>Smlouvy</w:t>
      </w:r>
      <w:r>
        <w:rPr>
          <w:spacing w:val="9"/>
          <w:sz w:val="20"/>
        </w:rPr>
        <w:t> </w:t>
      </w:r>
      <w:r>
        <w:rPr>
          <w:sz w:val="20"/>
        </w:rPr>
        <w:t>poskytne</w:t>
      </w:r>
      <w:r>
        <w:rPr>
          <w:spacing w:val="8"/>
          <w:sz w:val="20"/>
        </w:rPr>
        <w:t> </w:t>
      </w:r>
      <w:r>
        <w:rPr>
          <w:sz w:val="20"/>
        </w:rPr>
        <w:t>Fond</w:t>
      </w:r>
      <w:r>
        <w:rPr>
          <w:spacing w:val="-51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6"/>
        <w:gridCol w:w="5497"/>
      </w:tblGrid>
      <w:tr>
        <w:trPr>
          <w:trHeight w:val="385" w:hRule="atLeast"/>
        </w:trPr>
        <w:tc>
          <w:tcPr>
            <w:tcW w:w="3056" w:type="dxa"/>
          </w:tcPr>
          <w:p>
            <w:pPr>
              <w:pStyle w:val="TableParagraph"/>
              <w:ind w:left="1259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5497" w:type="dxa"/>
          </w:tcPr>
          <w:p>
            <w:pPr>
              <w:pStyle w:val="TableParagraph"/>
              <w:ind w:left="2107" w:right="210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5497" w:type="dxa"/>
          </w:tcPr>
          <w:p>
            <w:pPr>
              <w:pStyle w:val="TableParagraph"/>
              <w:ind w:left="2108" w:right="210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618 965,28</w:t>
            </w:r>
          </w:p>
        </w:tc>
      </w:tr>
      <w:tr>
        <w:trPr>
          <w:trHeight w:val="385" w:hRule="atLeast"/>
        </w:trPr>
        <w:tc>
          <w:tcPr>
            <w:tcW w:w="30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497" w:type="dxa"/>
          </w:tcPr>
          <w:p>
            <w:pPr>
              <w:pStyle w:val="TableParagraph"/>
              <w:ind w:left="2111" w:right="199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248 986,19</w:t>
            </w:r>
          </w:p>
        </w:tc>
      </w:tr>
    </w:tbl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603" w:val="left" w:leader="none"/>
          <w:tab w:pos="604" w:val="left" w:leader="none"/>
        </w:tabs>
        <w:spacing w:line="240" w:lineRule="auto" w:before="0" w:after="0"/>
        <w:ind w:left="603" w:right="0" w:hanging="361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3" w:right="111" w:hanging="360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zákona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340/2015</w:t>
      </w:r>
      <w:r>
        <w:rPr>
          <w:spacing w:val="-10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zvláštních</w:t>
      </w:r>
      <w:r>
        <w:rPr>
          <w:spacing w:val="-11"/>
          <w:sz w:val="20"/>
        </w:rPr>
        <w:t> </w:t>
      </w:r>
      <w:r>
        <w:rPr>
          <w:sz w:val="20"/>
        </w:rPr>
        <w:t>podmínkách</w:t>
      </w:r>
      <w:r>
        <w:rPr>
          <w:spacing w:val="-11"/>
          <w:sz w:val="20"/>
        </w:rPr>
        <w:t> </w:t>
      </w:r>
      <w:r>
        <w:rPr>
          <w:sz w:val="20"/>
        </w:rPr>
        <w:t>účinnosti</w:t>
      </w:r>
      <w:r>
        <w:rPr>
          <w:spacing w:val="-11"/>
          <w:sz w:val="20"/>
        </w:rPr>
        <w:t> </w:t>
      </w:r>
      <w:r>
        <w:rPr>
          <w:sz w:val="20"/>
        </w:rPr>
        <w:t>některých</w:t>
      </w:r>
      <w:r>
        <w:rPr>
          <w:spacing w:val="-11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73" w:after="0"/>
        <w:ind w:left="603" w:right="110" w:hanging="360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7625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603" w:hanging="360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1310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2021-12-15T12:26:00Z</dcterms:created>
  <dcterms:modified xsi:type="dcterms:W3CDTF">2021-12-15T12:26:00Z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