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A8572" w14:textId="2FD4A463" w:rsidR="00725872" w:rsidRPr="00AD3AFC" w:rsidRDefault="00E66990" w:rsidP="009B103F">
      <w:pPr>
        <w:widowControl w:val="0"/>
        <w:overflowPunct w:val="0"/>
        <w:autoSpaceDE w:val="0"/>
        <w:autoSpaceDN w:val="0"/>
        <w:adjustRightInd w:val="0"/>
        <w:jc w:val="center"/>
        <w:rPr>
          <w:b/>
          <w:bCs/>
          <w:kern w:val="28"/>
        </w:rPr>
      </w:pPr>
      <w:r>
        <w:rPr>
          <w:b/>
          <w:sz w:val="32"/>
          <w:szCs w:val="32"/>
        </w:rPr>
        <w:t xml:space="preserve">Smlouva o dodávce tepelné energie č. </w:t>
      </w:r>
      <w:r w:rsidR="00F510FD" w:rsidRPr="00E66990">
        <w:rPr>
          <w:b/>
          <w:kern w:val="28"/>
          <w:sz w:val="32"/>
          <w:szCs w:val="32"/>
        </w:rPr>
        <w:t>137/2022</w:t>
      </w:r>
    </w:p>
    <w:p w14:paraId="20D40905" w14:textId="77777777" w:rsidR="00E66990" w:rsidRDefault="00E66990" w:rsidP="00E66990">
      <w:pPr>
        <w:widowControl w:val="0"/>
        <w:autoSpaceDE w:val="0"/>
        <w:spacing w:before="240" w:after="120"/>
        <w:jc w:val="center"/>
      </w:pPr>
      <w:r>
        <w:t>uzavřená podle § 76 odst. 3 zákona č. 458/2000 Sb., energetický zákon ve znění pozdějších předpisů, ( dále jen „smlouva“ )</w:t>
      </w:r>
    </w:p>
    <w:p w14:paraId="610455C1" w14:textId="77777777" w:rsidR="00E66990" w:rsidRDefault="00E66990" w:rsidP="00E66990">
      <w:pPr>
        <w:widowControl w:val="0"/>
        <w:autoSpaceDE w:val="0"/>
        <w:spacing w:before="120" w:after="120"/>
        <w:jc w:val="center"/>
        <w:rPr>
          <w:b/>
        </w:rPr>
      </w:pPr>
    </w:p>
    <w:p w14:paraId="7E5AC6F2" w14:textId="77777777" w:rsidR="00E66990" w:rsidRDefault="00E66990" w:rsidP="00E66990">
      <w:pPr>
        <w:widowControl w:val="0"/>
        <w:autoSpaceDE w:val="0"/>
        <w:spacing w:before="120" w:after="120"/>
        <w:jc w:val="center"/>
        <w:rPr>
          <w:b/>
        </w:rPr>
      </w:pPr>
      <w:r>
        <w:rPr>
          <w:b/>
        </w:rPr>
        <w:t>Článek I</w:t>
      </w:r>
    </w:p>
    <w:p w14:paraId="7B8F3017" w14:textId="77777777" w:rsidR="00E66990" w:rsidRDefault="00E66990" w:rsidP="00E66990">
      <w:pPr>
        <w:widowControl w:val="0"/>
        <w:autoSpaceDE w:val="0"/>
        <w:spacing w:before="120" w:after="120"/>
        <w:jc w:val="center"/>
        <w:rPr>
          <w:b/>
        </w:rPr>
      </w:pPr>
      <w:r>
        <w:rPr>
          <w:b/>
        </w:rPr>
        <w:t>Smluvní strany</w:t>
      </w:r>
    </w:p>
    <w:p w14:paraId="255460E0" w14:textId="77777777" w:rsidR="001A1ED6" w:rsidRPr="00A91417" w:rsidRDefault="001A1ED6" w:rsidP="001A1ED6">
      <w:pPr>
        <w:pStyle w:val="WW-Zkladntextodsazen2"/>
        <w:spacing w:after="0" w:line="240" w:lineRule="auto"/>
        <w:ind w:left="0"/>
        <w:jc w:val="center"/>
        <w:rPr>
          <w:b/>
          <w:bCs/>
          <w:sz w:val="24"/>
          <w:szCs w:val="24"/>
        </w:rPr>
      </w:pPr>
    </w:p>
    <w:p w14:paraId="6F45AD8F" w14:textId="3B5F1FFC" w:rsidR="00E66990" w:rsidRPr="007A414E" w:rsidRDefault="00E66990" w:rsidP="00E66990">
      <w:pPr>
        <w:pStyle w:val="Odstavecseseznamem"/>
        <w:numPr>
          <w:ilvl w:val="0"/>
          <w:numId w:val="8"/>
        </w:numPr>
        <w:tabs>
          <w:tab w:val="left" w:pos="2835"/>
        </w:tabs>
        <w:ind w:left="2835" w:hanging="2835"/>
        <w:rPr>
          <w:sz w:val="24"/>
          <w:szCs w:val="24"/>
        </w:rPr>
      </w:pPr>
      <w:r w:rsidRPr="007A414E">
        <w:rPr>
          <w:b/>
          <w:sz w:val="24"/>
          <w:szCs w:val="24"/>
        </w:rPr>
        <w:t>TEPLO BRUNTÁL a.s.</w:t>
      </w:r>
      <w:r w:rsidRPr="007A414E">
        <w:rPr>
          <w:sz w:val="24"/>
          <w:szCs w:val="24"/>
        </w:rPr>
        <w:tab/>
      </w:r>
    </w:p>
    <w:p w14:paraId="5F2030AC" w14:textId="77777777" w:rsidR="00E66990" w:rsidRPr="002A48EF" w:rsidRDefault="00E66990" w:rsidP="00E66990">
      <w:pPr>
        <w:tabs>
          <w:tab w:val="left" w:pos="2835"/>
        </w:tabs>
      </w:pPr>
      <w:r w:rsidRPr="002A48EF">
        <w:t xml:space="preserve">se sídlem </w:t>
      </w:r>
      <w:r w:rsidRPr="002A48EF">
        <w:tab/>
        <w:t>Bruntál</w:t>
      </w:r>
      <w:r>
        <w:t xml:space="preserve">, </w:t>
      </w:r>
      <w:r w:rsidRPr="002A48EF">
        <w:t xml:space="preserve">Šmilovského 659/6, </w:t>
      </w:r>
      <w:r>
        <w:t xml:space="preserve">PSČ </w:t>
      </w:r>
      <w:r w:rsidRPr="002A48EF">
        <w:t xml:space="preserve">792 01 </w:t>
      </w:r>
    </w:p>
    <w:p w14:paraId="70F81BB6" w14:textId="77777777" w:rsidR="00E66990" w:rsidRDefault="00E66990" w:rsidP="00E66990">
      <w:r>
        <w:t>zapsaná v obchodním rejstříku,</w:t>
      </w:r>
      <w:r w:rsidRPr="002A48EF">
        <w:t xml:space="preserve"> vedeném KS </w:t>
      </w:r>
      <w:r>
        <w:t xml:space="preserve">v </w:t>
      </w:r>
      <w:r w:rsidRPr="002A48EF">
        <w:t>Ostrav</w:t>
      </w:r>
      <w:r>
        <w:t>ě</w:t>
      </w:r>
      <w:r w:rsidRPr="002A48EF">
        <w:t>, odd</w:t>
      </w:r>
      <w:r>
        <w:t>íl</w:t>
      </w:r>
      <w:r w:rsidRPr="002A48EF">
        <w:t xml:space="preserve"> B, vložka 1345</w:t>
      </w:r>
    </w:p>
    <w:p w14:paraId="794BFE2A" w14:textId="77777777" w:rsidR="00E66990" w:rsidRDefault="00E66990" w:rsidP="00E66990">
      <w:r>
        <w:t xml:space="preserve">držitel licence k podnikání, ve smyslu zákona č. 458/2000 Sb., energetický zákon, </w:t>
      </w:r>
    </w:p>
    <w:p w14:paraId="73628492" w14:textId="77777777" w:rsidR="00E66990" w:rsidRDefault="00E66990" w:rsidP="00E66990">
      <w:r>
        <w:t>skupin: 31,32,11,</w:t>
      </w:r>
    </w:p>
    <w:p w14:paraId="2584C3DC" w14:textId="5886108E" w:rsidR="00E66990" w:rsidRDefault="00E66990" w:rsidP="00E66990">
      <w:pPr>
        <w:tabs>
          <w:tab w:val="left" w:pos="2835"/>
        </w:tabs>
      </w:pPr>
      <w:r w:rsidRPr="002A48EF">
        <w:t>zastoupený:</w:t>
      </w:r>
      <w:r>
        <w:tab/>
      </w:r>
      <w:r w:rsidR="00187F3F">
        <w:t>xxxxxxxxxxxxxxxx</w:t>
      </w:r>
      <w:bookmarkStart w:id="0" w:name="_GoBack"/>
      <w:bookmarkEnd w:id="0"/>
    </w:p>
    <w:p w14:paraId="715A9B45" w14:textId="4E91751B" w:rsidR="00E66990" w:rsidRPr="002A48EF" w:rsidRDefault="00E66990" w:rsidP="00E66990">
      <w:pPr>
        <w:tabs>
          <w:tab w:val="left" w:pos="2835"/>
        </w:tabs>
      </w:pPr>
      <w:r>
        <w:t>zplnomocnění:</w:t>
      </w:r>
      <w:r>
        <w:tab/>
      </w:r>
      <w:r w:rsidR="00B11BCE">
        <w:t>xxxxxxxxxxxxxxxx</w:t>
      </w:r>
    </w:p>
    <w:p w14:paraId="3C03A9CA" w14:textId="77777777" w:rsidR="00E66990" w:rsidRPr="002A48EF" w:rsidRDefault="00E66990" w:rsidP="00E66990">
      <w:pPr>
        <w:tabs>
          <w:tab w:val="left" w:pos="2835"/>
        </w:tabs>
      </w:pPr>
      <w:r w:rsidRPr="002A48EF">
        <w:t>IČ:</w:t>
      </w:r>
      <w:r w:rsidRPr="002A48EF">
        <w:tab/>
        <w:t>253</w:t>
      </w:r>
      <w:r>
        <w:t xml:space="preserve"> </w:t>
      </w:r>
      <w:r w:rsidRPr="002A48EF">
        <w:t>50</w:t>
      </w:r>
      <w:r>
        <w:t xml:space="preserve"> </w:t>
      </w:r>
      <w:r w:rsidRPr="002A48EF">
        <w:t>676</w:t>
      </w:r>
    </w:p>
    <w:p w14:paraId="739590CF" w14:textId="77777777" w:rsidR="00E66990" w:rsidRPr="000711F8" w:rsidRDefault="00E66990" w:rsidP="00E66990">
      <w:pPr>
        <w:tabs>
          <w:tab w:val="left" w:pos="2835"/>
        </w:tabs>
      </w:pPr>
      <w:r w:rsidRPr="002A48EF">
        <w:t xml:space="preserve">DIČ: </w:t>
      </w:r>
      <w:r>
        <w:tab/>
      </w:r>
      <w:r w:rsidRPr="000711F8">
        <w:t>CZ25350676</w:t>
      </w:r>
    </w:p>
    <w:p w14:paraId="33558CE8" w14:textId="1CDAE23E" w:rsidR="003E5CB5" w:rsidRDefault="00E66990" w:rsidP="00E66990">
      <w:pPr>
        <w:tabs>
          <w:tab w:val="left" w:pos="2835"/>
        </w:tabs>
      </w:pPr>
      <w:r w:rsidRPr="000711F8">
        <w:t>bankovní spojení:</w:t>
      </w:r>
      <w:r w:rsidRPr="000711F8">
        <w:tab/>
      </w:r>
      <w:r w:rsidR="005379B8" w:rsidRPr="000711F8">
        <w:t>249032948/0300</w:t>
      </w:r>
      <w:r w:rsidRPr="000711F8">
        <w:t xml:space="preserve"> </w:t>
      </w:r>
      <w:r w:rsidR="003E5CB5">
        <w:t>(ČSOB)</w:t>
      </w:r>
    </w:p>
    <w:p w14:paraId="4D98361D" w14:textId="20B30EFA" w:rsidR="003E5CB5" w:rsidRDefault="003E5CB5" w:rsidP="00E66990">
      <w:pPr>
        <w:tabs>
          <w:tab w:val="left" w:pos="2835"/>
        </w:tabs>
      </w:pPr>
      <w:r>
        <w:tab/>
      </w:r>
      <w:r w:rsidR="00126374">
        <w:t>86-</w:t>
      </w:r>
      <w:r w:rsidR="005379B8" w:rsidRPr="000711F8">
        <w:t>5325040257/0100</w:t>
      </w:r>
      <w:r>
        <w:t xml:space="preserve"> (KB)</w:t>
      </w:r>
    </w:p>
    <w:p w14:paraId="4BE13AA7" w14:textId="71DB3B13" w:rsidR="00E66990" w:rsidRPr="000711F8" w:rsidRDefault="003E5CB5" w:rsidP="00E66990">
      <w:pPr>
        <w:tabs>
          <w:tab w:val="left" w:pos="2835"/>
        </w:tabs>
      </w:pPr>
      <w:r>
        <w:tab/>
      </w:r>
      <w:r w:rsidR="005379B8" w:rsidRPr="000711F8">
        <w:t>4060008897/6800</w:t>
      </w:r>
      <w:r>
        <w:t xml:space="preserve"> (Sberbank CZ)</w:t>
      </w:r>
    </w:p>
    <w:p w14:paraId="1A93F069" w14:textId="77777777" w:rsidR="00E66990" w:rsidRPr="000711F8" w:rsidRDefault="00E66990" w:rsidP="00E66990">
      <w:pPr>
        <w:tabs>
          <w:tab w:val="left" w:pos="2835"/>
        </w:tabs>
      </w:pPr>
      <w:r w:rsidRPr="000711F8">
        <w:t>telefon:</w:t>
      </w:r>
      <w:r w:rsidRPr="000711F8">
        <w:tab/>
        <w:t>554 774 224</w:t>
      </w:r>
    </w:p>
    <w:p w14:paraId="387ABA85" w14:textId="77777777" w:rsidR="00E66990" w:rsidRPr="000711F8" w:rsidRDefault="00E66990" w:rsidP="00E66990">
      <w:pPr>
        <w:tabs>
          <w:tab w:val="left" w:pos="2835"/>
        </w:tabs>
      </w:pPr>
      <w:r w:rsidRPr="000711F8">
        <w:t>webové stránky:</w:t>
      </w:r>
      <w:r w:rsidRPr="000711F8">
        <w:tab/>
      </w:r>
      <w:hyperlink r:id="rId8" w:history="1">
        <w:r w:rsidRPr="000711F8">
          <w:rPr>
            <w:rStyle w:val="Hypertextovodkaz"/>
            <w:color w:val="auto"/>
            <w:u w:val="none"/>
          </w:rPr>
          <w:t>www.teplobr.cz</w:t>
        </w:r>
      </w:hyperlink>
    </w:p>
    <w:p w14:paraId="57525A01" w14:textId="77777777" w:rsidR="00E66990" w:rsidRPr="000711F8" w:rsidRDefault="00E66990" w:rsidP="00E66990">
      <w:pPr>
        <w:tabs>
          <w:tab w:val="left" w:pos="2835"/>
        </w:tabs>
      </w:pPr>
      <w:r w:rsidRPr="000711F8">
        <w:t>e-mail:</w:t>
      </w:r>
      <w:r w:rsidRPr="000711F8">
        <w:tab/>
        <w:t xml:space="preserve">teplobr@teplobr.cz </w:t>
      </w:r>
    </w:p>
    <w:p w14:paraId="0D53C277" w14:textId="77777777" w:rsidR="00E66990" w:rsidRDefault="00E66990" w:rsidP="00E66990"/>
    <w:p w14:paraId="61580A7F" w14:textId="77777777" w:rsidR="00E66990" w:rsidRDefault="00E66990" w:rsidP="00E66990">
      <w:r>
        <w:t>zaměstnanci pověřeni činností:</w:t>
      </w:r>
    </w:p>
    <w:p w14:paraId="09979DFB" w14:textId="082E12E5" w:rsidR="00E66990" w:rsidRDefault="00E66990" w:rsidP="00E66990">
      <w:r>
        <w:t>ve věcech obchodních:</w:t>
      </w:r>
      <w:r>
        <w:tab/>
      </w:r>
      <w:r w:rsidR="00B11BCE">
        <w:t>xxxxxxxxxxxxxxxx</w:t>
      </w:r>
    </w:p>
    <w:p w14:paraId="1894529E" w14:textId="7A440257" w:rsidR="00E66990" w:rsidRDefault="00E66990" w:rsidP="00E66990">
      <w:r>
        <w:t>ve věcech technických:</w:t>
      </w:r>
      <w:r>
        <w:tab/>
      </w:r>
      <w:r w:rsidR="00B11BCE">
        <w:t>xxxxxxxxxxxxxxxx</w:t>
      </w:r>
    </w:p>
    <w:p w14:paraId="0D32463A" w14:textId="0C6B1954" w:rsidR="00E66990" w:rsidRPr="002A476E" w:rsidRDefault="00B11BCE" w:rsidP="00E66990">
      <w:pPr>
        <w:ind w:left="2127" w:firstLine="709"/>
        <w:jc w:val="both"/>
      </w:pPr>
      <w:r>
        <w:t>xxxxxxxxxxxxxxxx</w:t>
      </w:r>
    </w:p>
    <w:p w14:paraId="5CBCD5D7" w14:textId="77777777" w:rsidR="00E66990" w:rsidRPr="00035DBF" w:rsidRDefault="00E66990" w:rsidP="00E66990">
      <w:r>
        <w:rPr>
          <w:b/>
        </w:rPr>
        <w:t>(dále jen „dodavatel“)</w:t>
      </w:r>
    </w:p>
    <w:p w14:paraId="6497BAFD" w14:textId="7D7792BF" w:rsidR="001A1ED6" w:rsidRDefault="001A1ED6" w:rsidP="00E66990">
      <w:pPr>
        <w:tabs>
          <w:tab w:val="left" w:pos="2835"/>
        </w:tabs>
        <w:rPr>
          <w:b/>
        </w:rPr>
      </w:pPr>
      <w:r>
        <w:rPr>
          <w:b/>
        </w:rPr>
        <w:t>a</w:t>
      </w:r>
    </w:p>
    <w:p w14:paraId="2BED78E4" w14:textId="12B40CE3" w:rsidR="001A1ED6" w:rsidRDefault="001B176A" w:rsidP="00D24674">
      <w:pPr>
        <w:tabs>
          <w:tab w:val="left" w:pos="2835"/>
        </w:tabs>
      </w:pPr>
      <w:r w:rsidRPr="00172AFF">
        <w:t>2.</w:t>
      </w:r>
      <w:r w:rsidR="001A1ED6">
        <w:tab/>
      </w:r>
      <w:r w:rsidR="001A1ED6" w:rsidRPr="00C92447">
        <w:rPr>
          <w:b/>
        </w:rPr>
        <w:t>Město Bruntál</w:t>
      </w:r>
    </w:p>
    <w:p w14:paraId="50439BC4" w14:textId="1FDA0A45" w:rsidR="001A1ED6" w:rsidRDefault="001A1ED6" w:rsidP="001A1ED6">
      <w:pPr>
        <w:ind w:left="2832" w:hanging="2832"/>
      </w:pPr>
      <w:r w:rsidRPr="00035DBF">
        <w:t>se sídlem</w:t>
      </w:r>
      <w:r>
        <w:t>:</w:t>
      </w:r>
      <w:r>
        <w:tab/>
      </w:r>
      <w:r w:rsidR="003101B0" w:rsidRPr="003101B0">
        <w:t>Nádražní 994/20</w:t>
      </w:r>
      <w:r w:rsidR="00D24674" w:rsidRPr="00D24674">
        <w:t xml:space="preserve">, </w:t>
      </w:r>
      <w:r w:rsidR="003101B0" w:rsidRPr="003101B0">
        <w:t>792 01 Bruntál</w:t>
      </w:r>
    </w:p>
    <w:p w14:paraId="678AC8F9" w14:textId="2A9365D9" w:rsidR="00EC52ED" w:rsidRDefault="00EC52ED" w:rsidP="00AA59AA">
      <w:pPr>
        <w:tabs>
          <w:tab w:val="left" w:pos="2835"/>
        </w:tabs>
      </w:pPr>
    </w:p>
    <w:p w14:paraId="291ED6BE" w14:textId="773FD993" w:rsidR="00AA59AA" w:rsidRPr="002C2BDE" w:rsidRDefault="00AA59AA" w:rsidP="00AA59AA">
      <w:pPr>
        <w:tabs>
          <w:tab w:val="left" w:pos="2835"/>
        </w:tabs>
      </w:pPr>
      <w:r w:rsidRPr="002C2BDE">
        <w:t>IČ:</w:t>
      </w:r>
      <w:r>
        <w:tab/>
      </w:r>
      <w:r w:rsidRPr="0096624F">
        <w:t>00295892</w:t>
      </w:r>
    </w:p>
    <w:p w14:paraId="1F20FFB5" w14:textId="1D6366B2" w:rsidR="00AA59AA" w:rsidRDefault="00AA59AA" w:rsidP="00AA59AA">
      <w:pPr>
        <w:tabs>
          <w:tab w:val="left" w:pos="2835"/>
        </w:tabs>
      </w:pPr>
      <w:r>
        <w:t>b</w:t>
      </w:r>
      <w:r w:rsidRPr="00F41F07">
        <w:t>ankovní spojení:</w:t>
      </w:r>
      <w:r>
        <w:tab/>
      </w:r>
      <w:r w:rsidRPr="0096624F">
        <w:t>19-0000525771/0100</w:t>
      </w:r>
    </w:p>
    <w:p w14:paraId="453A6589" w14:textId="15DD74E8" w:rsidR="007B616F" w:rsidRDefault="007B616F" w:rsidP="00AA59AA">
      <w:pPr>
        <w:tabs>
          <w:tab w:val="left" w:pos="2835"/>
        </w:tabs>
      </w:pPr>
      <w:r>
        <w:t>telefon:</w:t>
      </w:r>
      <w:r>
        <w:tab/>
      </w:r>
      <w:r w:rsidRPr="007B616F">
        <w:t xml:space="preserve">554706111, </w:t>
      </w:r>
    </w:p>
    <w:p w14:paraId="1B0C53FD" w14:textId="01B4C187" w:rsidR="007B616F" w:rsidRDefault="007B616F" w:rsidP="00AA59AA">
      <w:pPr>
        <w:tabs>
          <w:tab w:val="left" w:pos="2835"/>
        </w:tabs>
      </w:pPr>
      <w:r>
        <w:t>e</w:t>
      </w:r>
      <w:r w:rsidR="000248AC">
        <w:t>-</w:t>
      </w:r>
      <w:r>
        <w:t>mail:</w:t>
      </w:r>
      <w:r>
        <w:tab/>
      </w:r>
      <w:r w:rsidRPr="007B616F">
        <w:t>posta@mubruntal.cz</w:t>
      </w:r>
    </w:p>
    <w:tbl>
      <w:tblPr>
        <w:tblStyle w:val="Mkatabulky"/>
        <w:tblpPr w:leftFromText="141" w:rightFromText="141" w:vertAnchor="text" w:horzAnchor="margin" w:tblpY="19"/>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INCONTACTID1:1,1"/>
      </w:tblPr>
      <w:tblGrid>
        <w:gridCol w:w="2835"/>
        <w:gridCol w:w="6237"/>
      </w:tblGrid>
      <w:tr w:rsidR="00F86D98" w:rsidRPr="00F27326" w14:paraId="4F9C84EC" w14:textId="77777777" w:rsidTr="00F86D98">
        <w:tc>
          <w:tcPr>
            <w:tcW w:w="2835" w:type="dxa"/>
            <w:tcMar>
              <w:left w:w="0" w:type="dxa"/>
            </w:tcMar>
          </w:tcPr>
          <w:p w14:paraId="24673FFD" w14:textId="77777777" w:rsidR="00F86D98" w:rsidRPr="00937D09" w:rsidRDefault="00F86D98" w:rsidP="00F86D98">
            <w:pPr>
              <w:rPr>
                <w:rFonts w:cstheme="minorHAnsi"/>
              </w:rPr>
            </w:pPr>
            <w:r w:rsidRPr="009F5E64">
              <w:rPr>
                <w:rFonts w:cstheme="minorHAnsi"/>
              </w:rPr>
              <w:t>zastoupené:</w:t>
            </w:r>
          </w:p>
        </w:tc>
        <w:tc>
          <w:tcPr>
            <w:tcW w:w="6237" w:type="dxa"/>
            <w:tcMar>
              <w:left w:w="0" w:type="dxa"/>
            </w:tcMar>
          </w:tcPr>
          <w:p w14:paraId="280E81F6" w14:textId="02CA1D23" w:rsidR="00F86D98" w:rsidRPr="00186E19" w:rsidRDefault="00F86D98" w:rsidP="00F86D98">
            <w:pPr>
              <w:rPr>
                <w:rFonts w:cstheme="minorHAnsi"/>
              </w:rPr>
            </w:pPr>
            <w:r w:rsidRPr="00937D09">
              <w:rPr>
                <w:rFonts w:cstheme="minorHAnsi"/>
              </w:rPr>
              <w:t>Ing. Petr Rys</w:t>
            </w:r>
            <w:r w:rsidR="00C93840">
              <w:rPr>
                <w:rFonts w:cstheme="minorHAnsi"/>
              </w:rPr>
              <w:t>,</w:t>
            </w:r>
            <w:r w:rsidRPr="00937D09">
              <w:rPr>
                <w:rFonts w:cstheme="minorHAnsi"/>
              </w:rPr>
              <w:t xml:space="preserve"> MBA</w:t>
            </w:r>
            <w:r>
              <w:rPr>
                <w:rFonts w:cstheme="minorHAnsi"/>
              </w:rPr>
              <w:t xml:space="preserve">, </w:t>
            </w:r>
            <w:r w:rsidRPr="00937D09">
              <w:rPr>
                <w:rFonts w:cstheme="minorHAnsi"/>
              </w:rPr>
              <w:t>starosta města</w:t>
            </w:r>
          </w:p>
        </w:tc>
      </w:tr>
    </w:tbl>
    <w:p w14:paraId="4FFE7D92" w14:textId="1ECC8B14" w:rsidR="00AA59AA" w:rsidRDefault="00AA59AA" w:rsidP="00AA59AA">
      <w:pPr>
        <w:tabs>
          <w:tab w:val="left" w:pos="2835"/>
        </w:tabs>
      </w:pPr>
      <w:r>
        <w:tab/>
      </w:r>
    </w:p>
    <w:p w14:paraId="38829F97" w14:textId="28003D0F" w:rsidR="00937D09" w:rsidRPr="00B74874" w:rsidRDefault="00937D09" w:rsidP="00AA59AA">
      <w:pPr>
        <w:tabs>
          <w:tab w:val="left" w:pos="2835"/>
        </w:tabs>
      </w:pPr>
      <w:r>
        <w:tab/>
      </w:r>
    </w:p>
    <w:p w14:paraId="4CBB9F58" w14:textId="2B30465C" w:rsidR="001A1ED6" w:rsidRDefault="001A1ED6" w:rsidP="001A1ED6">
      <w:pPr>
        <w:tabs>
          <w:tab w:val="left" w:pos="1890"/>
        </w:tabs>
        <w:rPr>
          <w:b/>
        </w:rPr>
      </w:pPr>
      <w:r>
        <w:rPr>
          <w:b/>
        </w:rPr>
        <w:t>(dále jen „odběratel“)</w:t>
      </w:r>
    </w:p>
    <w:p w14:paraId="760807D1" w14:textId="12854399" w:rsidR="00D56DDC" w:rsidRDefault="00D56DDC" w:rsidP="001A1ED6">
      <w:pPr>
        <w:tabs>
          <w:tab w:val="left" w:pos="1890"/>
        </w:tabs>
        <w:rPr>
          <w:b/>
        </w:rPr>
      </w:pPr>
    </w:p>
    <w:p w14:paraId="6121CE88" w14:textId="77777777" w:rsidR="004C6FF5" w:rsidRDefault="004C6FF5" w:rsidP="004C6FF5">
      <w:pPr>
        <w:tabs>
          <w:tab w:val="left" w:pos="1890"/>
          <w:tab w:val="left" w:pos="2835"/>
        </w:tabs>
        <w:rPr>
          <w:b/>
        </w:rPr>
      </w:pPr>
      <w:r w:rsidRPr="004C6FF5">
        <w:rPr>
          <w:b/>
        </w:rPr>
        <w:t>pro odběrn</w:t>
      </w:r>
      <w:r>
        <w:rPr>
          <w:b/>
        </w:rPr>
        <w:t>á</w:t>
      </w:r>
      <w:r w:rsidRPr="004C6FF5">
        <w:rPr>
          <w:b/>
        </w:rPr>
        <w:t xml:space="preserve"> míst</w:t>
      </w:r>
      <w:r>
        <w:rPr>
          <w:b/>
        </w:rPr>
        <w:t>a</w:t>
      </w:r>
      <w:r w:rsidRPr="004C6FF5">
        <w:rPr>
          <w:b/>
        </w:rPr>
        <w:t>:</w:t>
      </w:r>
      <w:r w:rsidRPr="004C6FF5">
        <w:rPr>
          <w:b/>
        </w:rPr>
        <w:tab/>
      </w:r>
    </w:p>
    <w:tbl>
      <w:tblPr>
        <w:tblStyle w:val="Mkatabulky"/>
        <w:tblW w:w="62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Caption w:val="OBJECTIDOM:1,1"/>
      </w:tblPr>
      <w:tblGrid>
        <w:gridCol w:w="3828"/>
        <w:gridCol w:w="2375"/>
      </w:tblGrid>
      <w:tr w:rsidR="004C6FF5" w:rsidRPr="00DF2931" w14:paraId="5351441B" w14:textId="77777777" w:rsidTr="009874A6">
        <w:trPr>
          <w:jc w:val="right"/>
        </w:trPr>
        <w:tc>
          <w:tcPr>
            <w:tcW w:w="3828" w:type="dxa"/>
            <w:shd w:val="clear" w:color="auto" w:fill="auto"/>
          </w:tcPr>
          <w:p w14:paraId="3C73B4B3" w14:textId="38BB416F" w:rsidR="004C6FF5" w:rsidRDefault="004C6FF5" w:rsidP="00166588">
            <w:pPr>
              <w:widowControl w:val="0"/>
              <w:overflowPunct w:val="0"/>
              <w:autoSpaceDE w:val="0"/>
              <w:autoSpaceDN w:val="0"/>
              <w:adjustRightInd w:val="0"/>
              <w:rPr>
                <w:kern w:val="28"/>
              </w:rPr>
            </w:pPr>
            <w:r w:rsidRPr="00441C51">
              <w:rPr>
                <w:kern w:val="28"/>
              </w:rPr>
              <w:t xml:space="preserve">Nádražní </w:t>
            </w:r>
            <w:r w:rsidR="00C93840">
              <w:rPr>
                <w:kern w:val="28"/>
              </w:rPr>
              <w:t>994/</w:t>
            </w:r>
            <w:r w:rsidRPr="00441C51">
              <w:rPr>
                <w:kern w:val="28"/>
              </w:rPr>
              <w:t>20, MÚ</w:t>
            </w:r>
          </w:p>
          <w:p w14:paraId="3DE81BA8" w14:textId="77777777" w:rsidR="00C93840" w:rsidRDefault="00C93840" w:rsidP="00166588">
            <w:pPr>
              <w:widowControl w:val="0"/>
              <w:overflowPunct w:val="0"/>
              <w:autoSpaceDE w:val="0"/>
              <w:autoSpaceDN w:val="0"/>
              <w:adjustRightInd w:val="0"/>
              <w:rPr>
                <w:kern w:val="28"/>
              </w:rPr>
            </w:pPr>
          </w:p>
          <w:p w14:paraId="0C79D3B3" w14:textId="77777777" w:rsidR="00C93840" w:rsidRDefault="00C93840" w:rsidP="00166588">
            <w:pPr>
              <w:widowControl w:val="0"/>
              <w:overflowPunct w:val="0"/>
              <w:autoSpaceDE w:val="0"/>
              <w:autoSpaceDN w:val="0"/>
              <w:adjustRightInd w:val="0"/>
              <w:rPr>
                <w:kern w:val="28"/>
              </w:rPr>
            </w:pPr>
          </w:p>
          <w:p w14:paraId="7EA082A0" w14:textId="77777777" w:rsidR="00C93840" w:rsidRPr="00441C51" w:rsidRDefault="00C93840" w:rsidP="00166588">
            <w:pPr>
              <w:widowControl w:val="0"/>
              <w:overflowPunct w:val="0"/>
              <w:autoSpaceDE w:val="0"/>
              <w:autoSpaceDN w:val="0"/>
              <w:adjustRightInd w:val="0"/>
              <w:rPr>
                <w:kern w:val="28"/>
              </w:rPr>
            </w:pPr>
          </w:p>
        </w:tc>
        <w:tc>
          <w:tcPr>
            <w:tcW w:w="2375" w:type="dxa"/>
            <w:shd w:val="clear" w:color="auto" w:fill="auto"/>
          </w:tcPr>
          <w:p w14:paraId="68FD2A6B" w14:textId="0D76A8E6" w:rsidR="004C6FF5" w:rsidRPr="00441C51" w:rsidRDefault="004C6FF5" w:rsidP="00166588">
            <w:pPr>
              <w:widowControl w:val="0"/>
              <w:overflowPunct w:val="0"/>
              <w:autoSpaceDE w:val="0"/>
              <w:autoSpaceDN w:val="0"/>
              <w:adjustRightInd w:val="0"/>
              <w:rPr>
                <w:kern w:val="28"/>
              </w:rPr>
            </w:pPr>
          </w:p>
        </w:tc>
      </w:tr>
    </w:tbl>
    <w:p w14:paraId="1D7EF1C4" w14:textId="3BC3C9CF" w:rsidR="004C6FF5" w:rsidRDefault="004C6FF5" w:rsidP="004C6FF5">
      <w:pPr>
        <w:tabs>
          <w:tab w:val="left" w:pos="1890"/>
          <w:tab w:val="left" w:pos="2835"/>
        </w:tabs>
        <w:rPr>
          <w:b/>
        </w:rPr>
      </w:pPr>
    </w:p>
    <w:p w14:paraId="2574B60D" w14:textId="77777777" w:rsidR="00441C51" w:rsidRDefault="00441C51" w:rsidP="00D56DDC">
      <w:pPr>
        <w:suppressAutoHyphens/>
        <w:jc w:val="center"/>
        <w:rPr>
          <w:b/>
          <w:noProof w:val="0"/>
          <w:lang w:eastAsia="ar-SA"/>
        </w:rPr>
      </w:pPr>
    </w:p>
    <w:p w14:paraId="064D583C" w14:textId="77777777" w:rsidR="00441C51" w:rsidRDefault="00441C51" w:rsidP="00441C51">
      <w:pPr>
        <w:widowControl w:val="0"/>
        <w:autoSpaceDE w:val="0"/>
        <w:jc w:val="center"/>
        <w:rPr>
          <w:b/>
        </w:rPr>
      </w:pPr>
      <w:r>
        <w:rPr>
          <w:b/>
        </w:rPr>
        <w:lastRenderedPageBreak/>
        <w:t>Článek II</w:t>
      </w:r>
    </w:p>
    <w:p w14:paraId="603E981D" w14:textId="77777777" w:rsidR="00441C51" w:rsidRDefault="00441C51" w:rsidP="00441C51">
      <w:pPr>
        <w:widowControl w:val="0"/>
        <w:autoSpaceDE w:val="0"/>
        <w:spacing w:after="200"/>
        <w:jc w:val="center"/>
        <w:rPr>
          <w:b/>
        </w:rPr>
      </w:pPr>
      <w:r>
        <w:rPr>
          <w:b/>
        </w:rPr>
        <w:t>Předmět smlouvy</w:t>
      </w:r>
    </w:p>
    <w:p w14:paraId="5C5E71B7" w14:textId="77777777" w:rsidR="00441C51" w:rsidRDefault="00441C51" w:rsidP="00441C51">
      <w:pPr>
        <w:pStyle w:val="Odstavecseseznamem"/>
        <w:widowControl w:val="0"/>
        <w:numPr>
          <w:ilvl w:val="0"/>
          <w:numId w:val="9"/>
        </w:numPr>
        <w:autoSpaceDE w:val="0"/>
        <w:spacing w:before="120" w:after="120"/>
        <w:ind w:left="284" w:hanging="284"/>
        <w:jc w:val="both"/>
        <w:rPr>
          <w:sz w:val="24"/>
          <w:szCs w:val="24"/>
        </w:rPr>
      </w:pPr>
      <w:r w:rsidRPr="00BC509B">
        <w:rPr>
          <w:sz w:val="24"/>
          <w:szCs w:val="24"/>
        </w:rPr>
        <w:t>Předmětem této smlouvy je závazek dodavatele dodávat tepelnou energii ze zařízení dodavatele do odběrného místa odběratele v souladu s touto smlouvou a závazek odběratele zaplatit za dodanou a odebranou tepelnou energii cenu za podmínek uvedených v této smlouvě.</w:t>
      </w:r>
    </w:p>
    <w:p w14:paraId="2E3D69E0" w14:textId="77777777" w:rsidR="00441C51" w:rsidRPr="00A85DB0" w:rsidRDefault="00441C51" w:rsidP="00441C51">
      <w:pPr>
        <w:widowControl w:val="0"/>
        <w:autoSpaceDE w:val="0"/>
        <w:spacing w:before="120" w:after="120"/>
        <w:jc w:val="both"/>
      </w:pPr>
    </w:p>
    <w:p w14:paraId="05137B8A" w14:textId="77777777" w:rsidR="00441C51" w:rsidRDefault="00441C51" w:rsidP="00441C51">
      <w:pPr>
        <w:widowControl w:val="0"/>
        <w:autoSpaceDE w:val="0"/>
        <w:spacing w:before="120" w:after="120"/>
        <w:ind w:firstLine="708"/>
        <w:jc w:val="both"/>
      </w:pPr>
    </w:p>
    <w:p w14:paraId="57770358" w14:textId="77777777" w:rsidR="00441C51" w:rsidRPr="00510830" w:rsidRDefault="00441C51" w:rsidP="00441C51">
      <w:pPr>
        <w:jc w:val="center"/>
        <w:rPr>
          <w:b/>
        </w:rPr>
      </w:pPr>
      <w:r w:rsidRPr="00510830">
        <w:rPr>
          <w:b/>
        </w:rPr>
        <w:t>Článek III</w:t>
      </w:r>
    </w:p>
    <w:p w14:paraId="0BC8393D" w14:textId="77777777" w:rsidR="00441C51" w:rsidRPr="00510830" w:rsidRDefault="00441C51" w:rsidP="00441C51">
      <w:pPr>
        <w:spacing w:after="200"/>
        <w:jc w:val="center"/>
        <w:rPr>
          <w:b/>
        </w:rPr>
      </w:pPr>
      <w:r w:rsidRPr="00510830">
        <w:rPr>
          <w:b/>
        </w:rPr>
        <w:t>Charakter a pravidla dodávky tepelné energie</w:t>
      </w:r>
    </w:p>
    <w:p w14:paraId="1B488CB7" w14:textId="77777777" w:rsidR="00441C51" w:rsidRDefault="00441C51" w:rsidP="00441C51">
      <w:pPr>
        <w:pStyle w:val="Odstavecseseznamem"/>
        <w:widowControl w:val="0"/>
        <w:numPr>
          <w:ilvl w:val="0"/>
          <w:numId w:val="10"/>
        </w:numPr>
        <w:autoSpaceDE w:val="0"/>
        <w:spacing w:after="100"/>
        <w:ind w:left="284" w:hanging="284"/>
        <w:contextualSpacing w:val="0"/>
        <w:jc w:val="both"/>
        <w:rPr>
          <w:sz w:val="24"/>
          <w:szCs w:val="24"/>
        </w:rPr>
      </w:pPr>
      <w:r w:rsidRPr="00BC509B">
        <w:rPr>
          <w:sz w:val="24"/>
          <w:szCs w:val="24"/>
        </w:rPr>
        <w:t>Základní parametry dodávané a vrácené teplonosné látky a další údaje jsou uvedeny v příloze č. 2 „Technické parametry odběrného místa“.</w:t>
      </w:r>
      <w:r>
        <w:rPr>
          <w:sz w:val="24"/>
          <w:szCs w:val="24"/>
        </w:rPr>
        <w:t xml:space="preserve"> </w:t>
      </w:r>
    </w:p>
    <w:p w14:paraId="494AFAC2" w14:textId="77777777" w:rsidR="00441C51" w:rsidRPr="002A476E" w:rsidRDefault="00441C51" w:rsidP="00441C51">
      <w:pPr>
        <w:pStyle w:val="Odstavecseseznamem"/>
        <w:widowControl w:val="0"/>
        <w:numPr>
          <w:ilvl w:val="0"/>
          <w:numId w:val="10"/>
        </w:numPr>
        <w:autoSpaceDE w:val="0"/>
        <w:spacing w:after="100"/>
        <w:ind w:left="284" w:hanging="284"/>
        <w:contextualSpacing w:val="0"/>
        <w:jc w:val="both"/>
        <w:rPr>
          <w:sz w:val="24"/>
          <w:szCs w:val="24"/>
        </w:rPr>
      </w:pPr>
      <w:r w:rsidRPr="002A476E">
        <w:rPr>
          <w:sz w:val="24"/>
          <w:szCs w:val="24"/>
        </w:rPr>
        <w:t xml:space="preserve">Upravená voda v topném systému (teplonosná látka) je majetkem dodavatele. V případě že odběratel topnou vodu z jakéhokoliv důvodu vypustí nebo dojde k jejímu úniku, bude mu doplněné množství topné vody vyúčtované v platné ceně pro daný rok. </w:t>
      </w:r>
    </w:p>
    <w:p w14:paraId="5C82B9BE" w14:textId="77777777" w:rsidR="00441C51" w:rsidRPr="007C165C" w:rsidRDefault="00441C51" w:rsidP="00441C51">
      <w:pPr>
        <w:pStyle w:val="Odstavecseseznamem"/>
        <w:widowControl w:val="0"/>
        <w:numPr>
          <w:ilvl w:val="0"/>
          <w:numId w:val="10"/>
        </w:numPr>
        <w:autoSpaceDE w:val="0"/>
        <w:spacing w:after="100"/>
        <w:ind w:left="284" w:hanging="284"/>
        <w:contextualSpacing w:val="0"/>
        <w:jc w:val="both"/>
        <w:rPr>
          <w:sz w:val="24"/>
          <w:szCs w:val="24"/>
        </w:rPr>
      </w:pPr>
      <w:r w:rsidRPr="007C165C">
        <w:rPr>
          <w:sz w:val="24"/>
          <w:szCs w:val="24"/>
        </w:rPr>
        <w:t>V případě porušení povinnosti odběratele vrátit dodavateli teplonosnou látku, odpovídá odběratel za újmu (majetkovou i nemajetkovou), která porušením této povinnosti dodavateli vznikne. V případě neohlášeného vypuštění teplonosné látky ze systému ÚT (mimo havárie) bude odběrateli dále účtován smluvní poplatek ve výši 1 000 Kč.</w:t>
      </w:r>
    </w:p>
    <w:p w14:paraId="1E1CA2FD" w14:textId="77777777" w:rsidR="00441C51" w:rsidRPr="00BC509B" w:rsidRDefault="00441C51" w:rsidP="00441C51">
      <w:pPr>
        <w:pStyle w:val="Odstavecseseznamem"/>
        <w:numPr>
          <w:ilvl w:val="0"/>
          <w:numId w:val="10"/>
        </w:numPr>
        <w:spacing w:after="100"/>
        <w:ind w:left="284" w:hanging="284"/>
        <w:contextualSpacing w:val="0"/>
        <w:jc w:val="both"/>
        <w:rPr>
          <w:sz w:val="24"/>
          <w:szCs w:val="24"/>
        </w:rPr>
      </w:pPr>
      <w:r w:rsidRPr="00BC509B">
        <w:rPr>
          <w:sz w:val="24"/>
          <w:szCs w:val="24"/>
        </w:rPr>
        <w:t xml:space="preserve">Dodavatel se zavazuje zabezpečit dodávky tepelné energie </w:t>
      </w:r>
      <w:r w:rsidRPr="0053103C">
        <w:rPr>
          <w:sz w:val="24"/>
          <w:szCs w:val="24"/>
        </w:rPr>
        <w:t>pro vytápění (dále jen „ÚT“) v závislosti na venkovní teplotě (ekvitermní regulace) s dodržením parametrů a obecných pravidel</w:t>
      </w:r>
      <w:r w:rsidRPr="0053103C">
        <w:rPr>
          <w:color w:val="0000FF"/>
          <w:sz w:val="24"/>
          <w:szCs w:val="24"/>
        </w:rPr>
        <w:t xml:space="preserve"> </w:t>
      </w:r>
      <w:r w:rsidRPr="0053103C">
        <w:rPr>
          <w:sz w:val="24"/>
          <w:szCs w:val="24"/>
        </w:rPr>
        <w:t>danými závaznými právními předpisy a technickými normami</w:t>
      </w:r>
      <w:r w:rsidRPr="00BC509B">
        <w:rPr>
          <w:sz w:val="24"/>
          <w:szCs w:val="24"/>
        </w:rPr>
        <w:t xml:space="preserve"> platnými v době plnění.   </w:t>
      </w:r>
    </w:p>
    <w:p w14:paraId="4BA58C24" w14:textId="77777777" w:rsidR="00441C51" w:rsidRPr="00BC509B" w:rsidRDefault="00441C51" w:rsidP="00441C51">
      <w:pPr>
        <w:pStyle w:val="Odstavecseseznamem"/>
        <w:numPr>
          <w:ilvl w:val="0"/>
          <w:numId w:val="10"/>
        </w:numPr>
        <w:spacing w:after="100"/>
        <w:ind w:left="284" w:hanging="284"/>
        <w:contextualSpacing w:val="0"/>
        <w:jc w:val="both"/>
        <w:rPr>
          <w:sz w:val="24"/>
          <w:szCs w:val="24"/>
        </w:rPr>
      </w:pPr>
      <w:r w:rsidRPr="00BC509B">
        <w:rPr>
          <w:sz w:val="24"/>
          <w:szCs w:val="24"/>
        </w:rPr>
        <w:t xml:space="preserve">Dodavatel je oprávněn omezit či přerušit dodávku tepelné energie z důvodů vymezených </w:t>
      </w:r>
      <w:r>
        <w:rPr>
          <w:sz w:val="24"/>
          <w:szCs w:val="24"/>
        </w:rPr>
        <w:t xml:space="preserve">     </w:t>
      </w:r>
      <w:r w:rsidRPr="00BC509B">
        <w:rPr>
          <w:sz w:val="24"/>
          <w:szCs w:val="24"/>
        </w:rPr>
        <w:t>v §</w:t>
      </w:r>
      <w:r>
        <w:rPr>
          <w:sz w:val="24"/>
          <w:szCs w:val="24"/>
        </w:rPr>
        <w:t xml:space="preserve"> </w:t>
      </w:r>
      <w:r w:rsidRPr="00BC509B">
        <w:rPr>
          <w:sz w:val="24"/>
          <w:szCs w:val="24"/>
        </w:rPr>
        <w:t>76 odst. 4 energetického zákona, ve znění pozdějších předpisů.</w:t>
      </w:r>
    </w:p>
    <w:p w14:paraId="28FE1ED1" w14:textId="77777777" w:rsidR="00441C51" w:rsidRPr="002A476E" w:rsidRDefault="00441C51" w:rsidP="00441C51">
      <w:pPr>
        <w:pStyle w:val="Odstavecseseznamem"/>
        <w:numPr>
          <w:ilvl w:val="0"/>
          <w:numId w:val="10"/>
        </w:numPr>
        <w:spacing w:after="100"/>
        <w:ind w:left="284" w:hanging="284"/>
        <w:contextualSpacing w:val="0"/>
        <w:jc w:val="both"/>
        <w:rPr>
          <w:sz w:val="24"/>
          <w:szCs w:val="24"/>
        </w:rPr>
      </w:pPr>
      <w:r w:rsidRPr="002A476E">
        <w:rPr>
          <w:sz w:val="24"/>
          <w:szCs w:val="24"/>
        </w:rPr>
        <w:t xml:space="preserve">Odběratel je povinen předem oznámit dodavateli buď písemně, emailem nebo telefonicky na dispečink dodavatele plánované opravy v objektu. </w:t>
      </w:r>
    </w:p>
    <w:p w14:paraId="37F0F452" w14:textId="77777777" w:rsidR="00441C51" w:rsidRPr="002A476E" w:rsidRDefault="00441C51" w:rsidP="00441C51">
      <w:pPr>
        <w:pStyle w:val="Odstavecseseznamem"/>
        <w:widowControl w:val="0"/>
        <w:numPr>
          <w:ilvl w:val="0"/>
          <w:numId w:val="10"/>
        </w:numPr>
        <w:autoSpaceDE w:val="0"/>
        <w:spacing w:after="100"/>
        <w:ind w:left="284" w:hanging="284"/>
        <w:contextualSpacing w:val="0"/>
        <w:jc w:val="both"/>
        <w:rPr>
          <w:sz w:val="24"/>
          <w:szCs w:val="24"/>
        </w:rPr>
      </w:pPr>
      <w:r w:rsidRPr="002A476E">
        <w:rPr>
          <w:sz w:val="24"/>
          <w:szCs w:val="24"/>
        </w:rPr>
        <w:t>Odběratel je povinen chránit rozvodné tepelné zařízení, regulační zařízení a měřící zařízení dodavatele, pokud jsou v objektu odběratele, před poškozením, zneužitím, odcizením a proti neoprávněným zásahům a znemožnit k nim přístup třetím osobám. V případě nesplnění této povinnosti nese odběratel objektivní odpovědnost za neoprávněný zásah nepovolané osoby, poškození, zničení nebo ztrátu takového zařízení, resp. zásah do něj. V případě porušení povinnosti odběratele stanovené v tomto odstavci, v důsledku něhož dojde k poškození, zneužiti, odcizení či neoprávněnému zásahu anebo přístupu k zařízení ze strany třetí osoby, je dodavatel oprávněn požadovat po odběrateli náhradu veškeré škody, která mu v této souvislosti vznikne, zejména (nikoliv však výlučně) škody v podobě vynaložených nákladů na zajištění nového zařízení či jeho opravy. Toto ustanovení se použije a aplikuje rovněž ve vztahu k měřícímu zařízení, jakož i značkám chránícím před zásahy do měřícího zařízení (plomba, montážní značka apod.) Případnou vzniklou škodu uhradí odběratel dodavateli na základě vystavené faktury.</w:t>
      </w:r>
    </w:p>
    <w:p w14:paraId="31D9B0B4" w14:textId="77777777" w:rsidR="00441C51" w:rsidRPr="002A476E" w:rsidRDefault="00441C51" w:rsidP="00441C51">
      <w:pPr>
        <w:pStyle w:val="Odstavecseseznamem"/>
        <w:widowControl w:val="0"/>
        <w:numPr>
          <w:ilvl w:val="0"/>
          <w:numId w:val="10"/>
        </w:numPr>
        <w:autoSpaceDE w:val="0"/>
        <w:spacing w:after="100"/>
        <w:ind w:left="284" w:hanging="284"/>
        <w:contextualSpacing w:val="0"/>
        <w:jc w:val="both"/>
        <w:rPr>
          <w:sz w:val="24"/>
          <w:szCs w:val="24"/>
        </w:rPr>
      </w:pPr>
      <w:r w:rsidRPr="002A476E">
        <w:rPr>
          <w:sz w:val="24"/>
          <w:szCs w:val="24"/>
        </w:rPr>
        <w:t xml:space="preserve">Odběratel je odpovědný za řádný stav svého odběrného tepelného zařízení a za jeho údržbu a opravy za předávacím místem, s výjimkou měřících a regulačních zařízení dodavatele umístěných v prostorách odběratele. Odběratel se zavazuje bez zbytečného odkladu ohlásit dodavateli všechny závady a poruchy na odběrném tepelném zařízení (včetně zařízení případných podružných odběratelů), které mají anebo mohou mít vliv na provoz tepelných systémů dodavatele, a zajistit bez zbytečného odkladu jejich odstranění. V případě, že </w:t>
      </w:r>
      <w:r w:rsidRPr="002A476E">
        <w:rPr>
          <w:sz w:val="24"/>
          <w:szCs w:val="24"/>
        </w:rPr>
        <w:lastRenderedPageBreak/>
        <w:t xml:space="preserve">závada nebo porucha na odběrném tepelném zařízení odběratele má vliv na kvalitu a plynulost dodávky tepelné energie jinému odběrateli, musí </w:t>
      </w:r>
      <w:r>
        <w:rPr>
          <w:sz w:val="24"/>
          <w:szCs w:val="24"/>
        </w:rPr>
        <w:t>dodavatel</w:t>
      </w:r>
      <w:r w:rsidRPr="002A476E">
        <w:rPr>
          <w:sz w:val="24"/>
          <w:szCs w:val="24"/>
        </w:rPr>
        <w:t xml:space="preserve"> učinit taková opatření, aby těmto odběratelům mohla být dodávka tepelné energie obnovena. Veškeré technické úpravy a změny na svém odběrném tepelném zařízení, které mohou ovlivnit kvalitu a plynulost dodávky tepelné energie a sjednané hodnoty dodávky tepelné energie (množství, výkon) včetně těch, které mohou ovlivnit jiné odběratele, může odběratel realizovat pouze a výlučně po předchozích konzultacích s dodavatelem, stvrzených oboustranně podepsaným zápisem. </w:t>
      </w:r>
    </w:p>
    <w:p w14:paraId="075CA4BD" w14:textId="77777777" w:rsidR="00441C51" w:rsidRDefault="00441C51" w:rsidP="00441C51">
      <w:pPr>
        <w:pStyle w:val="Odstavecseseznamem"/>
        <w:widowControl w:val="0"/>
        <w:numPr>
          <w:ilvl w:val="0"/>
          <w:numId w:val="10"/>
        </w:numPr>
        <w:autoSpaceDE w:val="0"/>
        <w:spacing w:after="100"/>
        <w:ind w:left="284" w:hanging="284"/>
        <w:contextualSpacing w:val="0"/>
        <w:jc w:val="both"/>
        <w:rPr>
          <w:sz w:val="24"/>
          <w:szCs w:val="24"/>
        </w:rPr>
      </w:pPr>
      <w:r w:rsidRPr="002C59E2">
        <w:rPr>
          <w:sz w:val="24"/>
          <w:szCs w:val="24"/>
        </w:rPr>
        <w:t>Odběratel nesmí k odběrnému tepelnému zařízení připojit nového odběratele, a bez předchozího písemného souhlasu dodavatele provádět regulační zásahy do soustavy ÚT (např. vlastní regulace) případně odběrů teplé vody (dále jen „TV“),</w:t>
      </w:r>
      <w:r w:rsidRPr="00BC509B">
        <w:rPr>
          <w:sz w:val="24"/>
          <w:szCs w:val="24"/>
        </w:rPr>
        <w:t xml:space="preserve"> které mají vliv na chod zařízení dodavatele. </w:t>
      </w:r>
    </w:p>
    <w:p w14:paraId="082894BF" w14:textId="77777777" w:rsidR="00441C51" w:rsidRPr="002A476E" w:rsidRDefault="00441C51" w:rsidP="00441C51">
      <w:pPr>
        <w:pStyle w:val="Odstavecseseznamem"/>
        <w:widowControl w:val="0"/>
        <w:numPr>
          <w:ilvl w:val="0"/>
          <w:numId w:val="10"/>
        </w:numPr>
        <w:autoSpaceDE w:val="0"/>
        <w:spacing w:after="100"/>
        <w:ind w:left="284" w:hanging="426"/>
        <w:contextualSpacing w:val="0"/>
        <w:jc w:val="both"/>
        <w:rPr>
          <w:sz w:val="24"/>
          <w:szCs w:val="24"/>
        </w:rPr>
      </w:pPr>
      <w:r w:rsidRPr="002A476E">
        <w:rPr>
          <w:sz w:val="24"/>
          <w:szCs w:val="24"/>
        </w:rPr>
        <w:t>Pokud odběratel provede úpravy na odběrném tepelném zařízení nebo jeho částech, kterými prochází neměřená dodávka tepelné energie bez souhlasu dodavatele tj. v rozporu s § 77 odst. 7 zákona č. 458/2000 Sb., energetický zákon v platném znění, dopouští se odběratel dle § 91a správního deliktu a může mu být uložena pokuta dle § 91a, odst. 7 zmiňovaného zákona.</w:t>
      </w:r>
    </w:p>
    <w:p w14:paraId="17DF0BB3" w14:textId="77777777" w:rsidR="00441C51" w:rsidRPr="002E556E" w:rsidRDefault="00441C51" w:rsidP="00441C51">
      <w:pPr>
        <w:pStyle w:val="Odstavecseseznamem"/>
        <w:widowControl w:val="0"/>
        <w:numPr>
          <w:ilvl w:val="0"/>
          <w:numId w:val="10"/>
        </w:numPr>
        <w:autoSpaceDE w:val="0"/>
        <w:spacing w:after="100"/>
        <w:ind w:left="284" w:hanging="426"/>
        <w:contextualSpacing w:val="0"/>
        <w:jc w:val="both"/>
        <w:rPr>
          <w:sz w:val="24"/>
          <w:szCs w:val="24"/>
        </w:rPr>
      </w:pPr>
      <w:r w:rsidRPr="00BC509B">
        <w:rPr>
          <w:sz w:val="24"/>
          <w:szCs w:val="24"/>
        </w:rPr>
        <w:t xml:space="preserve">Pokud odběratel provozem vlastní regulace provozované bez souhlasu dodavatele poškodí zařízení dodavatele, je dodavatel oprávněn náklady vzniklé s opravou poškozeného zařízení přefakturovat odběrateli. </w:t>
      </w:r>
    </w:p>
    <w:p w14:paraId="62D0A13A" w14:textId="77777777" w:rsidR="00441C51" w:rsidRPr="007C165C" w:rsidRDefault="00441C51" w:rsidP="00441C51">
      <w:pPr>
        <w:pStyle w:val="Odstavecseseznamem"/>
        <w:widowControl w:val="0"/>
        <w:numPr>
          <w:ilvl w:val="0"/>
          <w:numId w:val="10"/>
        </w:numPr>
        <w:autoSpaceDE w:val="0"/>
        <w:spacing w:after="100"/>
        <w:ind w:left="284" w:hanging="426"/>
        <w:contextualSpacing w:val="0"/>
        <w:jc w:val="both"/>
        <w:rPr>
          <w:sz w:val="24"/>
          <w:szCs w:val="24"/>
        </w:rPr>
      </w:pPr>
      <w:r w:rsidRPr="007C165C">
        <w:rPr>
          <w:sz w:val="24"/>
          <w:szCs w:val="24"/>
        </w:rPr>
        <w:t>TV bude dodávána denně od 5:00 do 24:00 hodin. Na základě písemné žádosti všech odbě-ratelů z předávací stanice lze dobu dodávky změnit.</w:t>
      </w:r>
    </w:p>
    <w:p w14:paraId="78C607AE" w14:textId="77777777" w:rsidR="00441C51" w:rsidRPr="007179B4" w:rsidRDefault="00441C51" w:rsidP="00441C51"/>
    <w:p w14:paraId="6021A7B4" w14:textId="77777777" w:rsidR="00441C51" w:rsidRPr="00510830" w:rsidRDefault="00441C51" w:rsidP="00441C51">
      <w:pPr>
        <w:jc w:val="center"/>
        <w:rPr>
          <w:b/>
        </w:rPr>
      </w:pPr>
      <w:r w:rsidRPr="00510830">
        <w:rPr>
          <w:b/>
        </w:rPr>
        <w:t>Článek IV</w:t>
      </w:r>
    </w:p>
    <w:p w14:paraId="062B8A39" w14:textId="77777777" w:rsidR="00441C51" w:rsidRPr="00510830" w:rsidRDefault="00441C51" w:rsidP="00441C51">
      <w:pPr>
        <w:spacing w:after="200"/>
        <w:jc w:val="center"/>
        <w:rPr>
          <w:b/>
        </w:rPr>
      </w:pPr>
      <w:r w:rsidRPr="00510830">
        <w:rPr>
          <w:b/>
        </w:rPr>
        <w:t>Místo předání, místo a způsob měření</w:t>
      </w:r>
    </w:p>
    <w:p w14:paraId="4F625A6A"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Dodávka tepelné energie je uskutečněna přechodem tepelné energie o sjednaných parametrech ze zařízení dodavatele do zařízení odběratele. Konkrétní místo plnění předmětu smlouvy je specifikováno v příloze č. 2 „Technické parametry odběrného místa“.</w:t>
      </w:r>
    </w:p>
    <w:p w14:paraId="0B3366B5"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Dodavatel je povinen na svůj náklad osadit, zapojit, udržovat a pravidelně ověřovat správnost měření.</w:t>
      </w:r>
    </w:p>
    <w:p w14:paraId="4DF7EB32"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Odběratel je povinen umožnit dodavateli osadit měřící zařízení a zajistit ho proti neoprávněné manipulaci. Zjistí-li odběratel porušení měřícího zařízení nebo jeho zajištění, je povinen to ihned oznámit dodavateli a to telefonicky i písemně.</w:t>
      </w:r>
    </w:p>
    <w:p w14:paraId="3B06B4E8"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Dodavatel je povinen dodávku tepelné energie měřit, vyhodnocovat a účtovat podle skutečných parametrů teplonosné látky a údajů vlastního měřícího zařízení.</w:t>
      </w:r>
    </w:p>
    <w:p w14:paraId="0B56F6A9"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 xml:space="preserve">Odběratel se zavazuje umožnit dodavateli volný a bezpečný přístup k měřícímu a strojnímu </w:t>
      </w:r>
      <w:r>
        <w:rPr>
          <w:sz w:val="24"/>
          <w:szCs w:val="24"/>
        </w:rPr>
        <w:t>zařízení dodavatele a dále se zavazuje předat</w:t>
      </w:r>
      <w:r w:rsidRPr="00BC509B">
        <w:rPr>
          <w:sz w:val="24"/>
          <w:szCs w:val="24"/>
        </w:rPr>
        <w:t xml:space="preserve"> dodavateli příslušné funkční klíče od vstupů do budovy, sklepa a místností s tímto zařízením za účelem jejich odečtů, kontroly, výměny a údržby prováděné zaměstnanci dodavatele. </w:t>
      </w:r>
    </w:p>
    <w:p w14:paraId="224164B9"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 xml:space="preserve">Množství dodané/odebrané tepelné energie zjišťuje dodavatel pravidelným odečtem stavu číselníku měřícího zařízení měsíčně, a to koncem běžného měsíce, případně začátkem následujícího měsíce.  </w:t>
      </w:r>
    </w:p>
    <w:p w14:paraId="41C1D0F1" w14:textId="77777777" w:rsidR="00441C51" w:rsidRPr="00BC509B"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Odběratel má právo na ověření správnosti odečtu naměřených hodnot nahlédnutím do evidence dodavatele.</w:t>
      </w:r>
    </w:p>
    <w:p w14:paraId="43798F2F" w14:textId="77777777" w:rsidR="00441C51" w:rsidRDefault="00441C51" w:rsidP="00441C51">
      <w:pPr>
        <w:pStyle w:val="Odstavecseseznamem"/>
        <w:widowControl w:val="0"/>
        <w:numPr>
          <w:ilvl w:val="0"/>
          <w:numId w:val="11"/>
        </w:numPr>
        <w:autoSpaceDE w:val="0"/>
        <w:spacing w:after="100"/>
        <w:ind w:left="284" w:hanging="284"/>
        <w:contextualSpacing w:val="0"/>
        <w:jc w:val="both"/>
        <w:rPr>
          <w:sz w:val="24"/>
          <w:szCs w:val="24"/>
        </w:rPr>
      </w:pPr>
      <w:r w:rsidRPr="00BC509B">
        <w:rPr>
          <w:sz w:val="24"/>
          <w:szCs w:val="24"/>
        </w:rPr>
        <w:t>V případě poruchy měřícího zařízení bude odebrané množství pro vyhodnocení dodané tepelné energie stanoveno náhradním způsobem, a to technickým výpočtem poměru</w:t>
      </w:r>
      <w:r>
        <w:rPr>
          <w:sz w:val="24"/>
          <w:szCs w:val="24"/>
        </w:rPr>
        <w:t xml:space="preserve"> </w:t>
      </w:r>
      <w:r w:rsidRPr="00BC509B">
        <w:rPr>
          <w:sz w:val="24"/>
          <w:szCs w:val="24"/>
        </w:rPr>
        <w:lastRenderedPageBreak/>
        <w:t>množství dodávek se srovnatelným objektem v řádně měřeném období a přepočtem na neměřené období</w:t>
      </w:r>
      <w:r w:rsidRPr="00BC509B">
        <w:rPr>
          <w:i/>
          <w:sz w:val="24"/>
          <w:szCs w:val="24"/>
        </w:rPr>
        <w:t>,</w:t>
      </w:r>
      <w:r w:rsidRPr="00BC509B">
        <w:rPr>
          <w:sz w:val="24"/>
          <w:szCs w:val="24"/>
        </w:rPr>
        <w:t xml:space="preserve"> nebo jiným dohodnutým způsobem. Pokud bude množství tepelné energie stanoveno náhradním způsobem, bude tato skutečnost uvedena v podkladech pro vyúčtování.</w:t>
      </w:r>
    </w:p>
    <w:p w14:paraId="2976CB8D" w14:textId="77777777" w:rsidR="00441C51" w:rsidRDefault="00441C51" w:rsidP="00441C51">
      <w:pPr>
        <w:pStyle w:val="Odstavecseseznamem"/>
        <w:widowControl w:val="0"/>
        <w:numPr>
          <w:ilvl w:val="0"/>
          <w:numId w:val="11"/>
        </w:numPr>
        <w:autoSpaceDE w:val="0"/>
        <w:spacing w:after="100"/>
        <w:ind w:left="284" w:hanging="284"/>
        <w:jc w:val="both"/>
        <w:rPr>
          <w:sz w:val="24"/>
          <w:szCs w:val="24"/>
        </w:rPr>
      </w:pPr>
      <w:r w:rsidRPr="002A476E">
        <w:rPr>
          <w:sz w:val="24"/>
          <w:szCs w:val="24"/>
        </w:rPr>
        <w:t xml:space="preserve">Pokud prokazatelně dojde ze strany odběratele k poškození měřidel spotřeby tepelné energie nebo jejich součástí (včetně plomb), uhradí odběratel dodavateli veškeré náklady na opravu, přecejchování a nové osazení poškozeného zařízení. Dodané množství tepelné energie bude za období zjištěného poškození, zničení nebo odcizení měřidel spotřeby tepelné energie nebo jejich součástí odběrateli stanoveno podle srovnatelného topného období nebo technickým výpočtem. </w:t>
      </w:r>
    </w:p>
    <w:p w14:paraId="4D6BB305" w14:textId="77777777" w:rsidR="00441C51" w:rsidRPr="003A39B9" w:rsidRDefault="00441C51" w:rsidP="00441C51">
      <w:pPr>
        <w:pStyle w:val="Odstavecseseznamem"/>
        <w:numPr>
          <w:ilvl w:val="0"/>
          <w:numId w:val="11"/>
        </w:numPr>
        <w:ind w:left="284" w:hanging="426"/>
        <w:jc w:val="both"/>
        <w:rPr>
          <w:sz w:val="24"/>
          <w:szCs w:val="24"/>
        </w:rPr>
      </w:pPr>
      <w:r w:rsidRPr="003A39B9">
        <w:rPr>
          <w:bCs/>
          <w:iCs/>
          <w:sz w:val="24"/>
          <w:szCs w:val="24"/>
        </w:rPr>
        <w:t>V případě, že odběratel opakovaně nehradí smluvené platby včetně vyúčtování za odebranou tepelnou energii, tj. je v prodlení s úhradou dvou a více plateb déle než 30 dnů po splatnosti, je dodavatel oprávněn přerušit nebo omezit dodávku tepelné energie a vyúčtovat odběrateli smluvní pokutu ve výši 3.000,-Kč za každé takové porušení smluvní povinnosti. Obnovení dodávky je možné až po uhrazení smluvní pokuty a ostatních smluvních platebních povinností. Tím nejsou dotčena ani omezena práva dodavatele přerušit nebo omezit dodávku tepelné energie v ostatních případech neoprávněného odběru tepelné energie, jak jsou vymezeny v ustanovení § 89 zák. č. 458/2000 Sb., energetický zákon. Dodavatel je oprávněn přerušit nebo omezit dodávku tepelné energie v nezbytném rozsahu a na nezbytně nutnou dobu rovněž v případech a za podmínek specifikovaných v § 76 odst. 4 písm. a) až i) energetického zákona.</w:t>
      </w:r>
      <w:r w:rsidRPr="003A39B9">
        <w:rPr>
          <w:sz w:val="24"/>
          <w:szCs w:val="24"/>
        </w:rPr>
        <w:t>“</w:t>
      </w:r>
    </w:p>
    <w:p w14:paraId="37BF95A4" w14:textId="77777777" w:rsidR="00441C51" w:rsidRPr="00E146ED" w:rsidRDefault="00441C51" w:rsidP="00441C51">
      <w:pPr>
        <w:widowControl w:val="0"/>
        <w:autoSpaceDE w:val="0"/>
        <w:spacing w:before="120" w:after="120"/>
        <w:jc w:val="both"/>
        <w:rPr>
          <w:sz w:val="22"/>
          <w:szCs w:val="22"/>
        </w:rPr>
      </w:pPr>
    </w:p>
    <w:p w14:paraId="4BDC91B7" w14:textId="77777777" w:rsidR="00441C51" w:rsidRPr="00EA4CFE" w:rsidRDefault="00441C51" w:rsidP="00441C51">
      <w:pPr>
        <w:jc w:val="center"/>
        <w:rPr>
          <w:b/>
          <w:bCs/>
        </w:rPr>
      </w:pPr>
      <w:r w:rsidRPr="00EA4CFE">
        <w:rPr>
          <w:b/>
          <w:bCs/>
        </w:rPr>
        <w:t>Článek V</w:t>
      </w:r>
    </w:p>
    <w:p w14:paraId="67CEEADA" w14:textId="77777777" w:rsidR="00441C51" w:rsidRPr="00EA4CFE" w:rsidRDefault="00441C51" w:rsidP="00441C51">
      <w:pPr>
        <w:spacing w:after="200"/>
        <w:jc w:val="center"/>
        <w:rPr>
          <w:b/>
          <w:bCs/>
        </w:rPr>
      </w:pPr>
      <w:r w:rsidRPr="00EA4CFE">
        <w:rPr>
          <w:b/>
          <w:bCs/>
        </w:rPr>
        <w:t>Výše a způsob stanovení ceny a platební podmínky</w:t>
      </w:r>
    </w:p>
    <w:p w14:paraId="08149114" w14:textId="77777777" w:rsidR="00441C51" w:rsidRPr="00BC509B" w:rsidRDefault="00441C51" w:rsidP="00441C51">
      <w:pPr>
        <w:pStyle w:val="Odstavecseseznamem"/>
        <w:widowControl w:val="0"/>
        <w:numPr>
          <w:ilvl w:val="0"/>
          <w:numId w:val="12"/>
        </w:numPr>
        <w:autoSpaceDE w:val="0"/>
        <w:spacing w:after="100"/>
        <w:ind w:left="284" w:hanging="284"/>
        <w:contextualSpacing w:val="0"/>
        <w:jc w:val="both"/>
        <w:rPr>
          <w:sz w:val="24"/>
          <w:szCs w:val="24"/>
        </w:rPr>
      </w:pPr>
      <w:r w:rsidRPr="00BC509B">
        <w:rPr>
          <w:sz w:val="24"/>
          <w:szCs w:val="24"/>
        </w:rPr>
        <w:t>Cena tepelné energie je tvořena v souladu se zákonem č. 526/1990 Sb., o cenách, ve znění pozdějších předpisů, prováděcí vyhláškou č. 450/2009 Sb., ve znění pozdějších předpisů, a v souladu s platnými cenovými rozhodnutími Energetického regulačního úřadu.</w:t>
      </w:r>
    </w:p>
    <w:p w14:paraId="180E649D" w14:textId="77777777" w:rsidR="00441C51" w:rsidRPr="00BC509B" w:rsidRDefault="00441C51" w:rsidP="00441C51">
      <w:pPr>
        <w:pStyle w:val="Odstavecseseznamem"/>
        <w:numPr>
          <w:ilvl w:val="0"/>
          <w:numId w:val="12"/>
        </w:numPr>
        <w:spacing w:after="100"/>
        <w:ind w:left="284" w:hanging="284"/>
        <w:contextualSpacing w:val="0"/>
        <w:jc w:val="both"/>
        <w:rPr>
          <w:sz w:val="24"/>
          <w:szCs w:val="24"/>
        </w:rPr>
      </w:pPr>
      <w:r w:rsidRPr="00BC509B">
        <w:rPr>
          <w:sz w:val="24"/>
          <w:szCs w:val="24"/>
        </w:rPr>
        <w:t>Cena tepelné energie, vody a topné vody, způsob jejího stanovení a způsob platby za odebranou tepelnou energii a vodu je obsahem přílohy č. 1 „Cenové ujednání“.</w:t>
      </w:r>
    </w:p>
    <w:p w14:paraId="7B36A549" w14:textId="77777777" w:rsidR="00441C51" w:rsidRPr="00BC509B" w:rsidRDefault="00441C51" w:rsidP="00441C51">
      <w:pPr>
        <w:pStyle w:val="Odstavecseseznamem"/>
        <w:numPr>
          <w:ilvl w:val="0"/>
          <w:numId w:val="12"/>
        </w:numPr>
        <w:spacing w:after="100"/>
        <w:ind w:left="284" w:hanging="284"/>
        <w:contextualSpacing w:val="0"/>
        <w:jc w:val="both"/>
        <w:rPr>
          <w:sz w:val="24"/>
          <w:szCs w:val="24"/>
        </w:rPr>
      </w:pPr>
      <w:r w:rsidRPr="00BC509B">
        <w:rPr>
          <w:sz w:val="24"/>
          <w:szCs w:val="24"/>
        </w:rPr>
        <w:t>Dodavatel se zavazuje zúčtovat dílčí platby (zálohy) a vystavit potřebné platební doklady řádně, včas a ve lhůtách dohodnutých v příloze č. 1 „Cenové ujednání“.</w:t>
      </w:r>
    </w:p>
    <w:p w14:paraId="7A6FE1F2" w14:textId="77777777" w:rsidR="00441C51" w:rsidRPr="00BC509B" w:rsidRDefault="00441C51" w:rsidP="00441C51">
      <w:pPr>
        <w:pStyle w:val="Odstavecseseznamem"/>
        <w:widowControl w:val="0"/>
        <w:numPr>
          <w:ilvl w:val="0"/>
          <w:numId w:val="12"/>
        </w:numPr>
        <w:autoSpaceDE w:val="0"/>
        <w:spacing w:after="100"/>
        <w:ind w:left="284" w:hanging="284"/>
        <w:contextualSpacing w:val="0"/>
        <w:jc w:val="both"/>
        <w:rPr>
          <w:sz w:val="24"/>
          <w:szCs w:val="24"/>
        </w:rPr>
      </w:pPr>
      <w:r w:rsidRPr="00BC509B">
        <w:rPr>
          <w:sz w:val="24"/>
          <w:szCs w:val="24"/>
        </w:rPr>
        <w:t>Odběratel se zavazuje zaplatit dodavateli cenu za dodávku tepelné energie na výše uvedený účet dodavatele řádně a včas. Zaplacením se rozumí datum připsání částky na účet dodavatele.</w:t>
      </w:r>
    </w:p>
    <w:p w14:paraId="574B9DF5" w14:textId="77777777" w:rsidR="00CB535F" w:rsidRPr="00705A6C" w:rsidRDefault="00CB535F" w:rsidP="00CB535F">
      <w:pPr>
        <w:jc w:val="center"/>
        <w:rPr>
          <w:b/>
          <w:bCs/>
        </w:rPr>
      </w:pPr>
      <w:r w:rsidRPr="00705A6C">
        <w:rPr>
          <w:b/>
          <w:bCs/>
        </w:rPr>
        <w:t>Článek VI</w:t>
      </w:r>
    </w:p>
    <w:p w14:paraId="0AF7950D" w14:textId="77777777" w:rsidR="00CB535F" w:rsidRPr="00705A6C" w:rsidRDefault="00CB535F" w:rsidP="00CB535F">
      <w:pPr>
        <w:spacing w:after="200"/>
        <w:jc w:val="center"/>
        <w:rPr>
          <w:b/>
          <w:bCs/>
        </w:rPr>
      </w:pPr>
      <w:r w:rsidRPr="00705A6C">
        <w:rPr>
          <w:b/>
          <w:bCs/>
        </w:rPr>
        <w:t>Doba trvání smlouvy a způsoby jejího ukončení</w:t>
      </w:r>
    </w:p>
    <w:p w14:paraId="571DCD6B" w14:textId="3E2806AF" w:rsidR="00CB535F" w:rsidRPr="00BC509B" w:rsidRDefault="00CB535F" w:rsidP="00617F82">
      <w:pPr>
        <w:pStyle w:val="Odstavecseseznamem"/>
        <w:widowControl w:val="0"/>
        <w:numPr>
          <w:ilvl w:val="0"/>
          <w:numId w:val="13"/>
        </w:numPr>
        <w:autoSpaceDE w:val="0"/>
        <w:spacing w:after="100"/>
        <w:ind w:left="284" w:hanging="284"/>
        <w:contextualSpacing w:val="0"/>
        <w:jc w:val="both"/>
        <w:rPr>
          <w:sz w:val="24"/>
          <w:szCs w:val="24"/>
        </w:rPr>
      </w:pPr>
      <w:r w:rsidRPr="00BC509B">
        <w:rPr>
          <w:sz w:val="24"/>
          <w:szCs w:val="24"/>
        </w:rPr>
        <w:t xml:space="preserve">Smlouva se uzavírá na </w:t>
      </w:r>
      <w:r w:rsidR="00BE4BE7">
        <w:rPr>
          <w:sz w:val="24"/>
          <w:szCs w:val="24"/>
        </w:rPr>
        <w:t>dobu neurčitou.</w:t>
      </w:r>
    </w:p>
    <w:p w14:paraId="2D5E5677" w14:textId="4471CED7" w:rsidR="00CB535F" w:rsidRPr="00EF2512" w:rsidRDefault="00CB535F" w:rsidP="00CB535F">
      <w:pPr>
        <w:pStyle w:val="Odstavecseseznamem"/>
        <w:widowControl w:val="0"/>
        <w:numPr>
          <w:ilvl w:val="0"/>
          <w:numId w:val="13"/>
        </w:numPr>
        <w:autoSpaceDE w:val="0"/>
        <w:spacing w:after="100"/>
        <w:ind w:left="284" w:hanging="284"/>
        <w:contextualSpacing w:val="0"/>
        <w:jc w:val="both"/>
        <w:rPr>
          <w:sz w:val="24"/>
          <w:szCs w:val="24"/>
        </w:rPr>
      </w:pPr>
      <w:r w:rsidRPr="00BC509B">
        <w:rPr>
          <w:sz w:val="24"/>
          <w:szCs w:val="24"/>
        </w:rPr>
        <w:t>Smluvní strany se dohodly, že tato smlouva nabývá platnosti dnem podpisu oběma smluvními stranami a účinnosti od 1. 1. 202</w:t>
      </w:r>
      <w:r w:rsidR="00C93840">
        <w:rPr>
          <w:sz w:val="24"/>
          <w:szCs w:val="24"/>
        </w:rPr>
        <w:t>2</w:t>
      </w:r>
      <w:r>
        <w:rPr>
          <w:sz w:val="24"/>
          <w:szCs w:val="24"/>
        </w:rPr>
        <w:t>.</w:t>
      </w:r>
      <w:r w:rsidRPr="00BC509B">
        <w:rPr>
          <w:sz w:val="24"/>
          <w:szCs w:val="24"/>
        </w:rPr>
        <w:t xml:space="preserve"> </w:t>
      </w:r>
    </w:p>
    <w:p w14:paraId="1727EFD8" w14:textId="77777777" w:rsidR="00CB535F" w:rsidRPr="00BC509B" w:rsidRDefault="00CB535F" w:rsidP="00CB535F">
      <w:pPr>
        <w:pStyle w:val="Odstavecseseznamem"/>
        <w:widowControl w:val="0"/>
        <w:numPr>
          <w:ilvl w:val="0"/>
          <w:numId w:val="13"/>
        </w:numPr>
        <w:autoSpaceDE w:val="0"/>
        <w:spacing w:after="100"/>
        <w:ind w:left="284" w:hanging="284"/>
        <w:contextualSpacing w:val="0"/>
        <w:jc w:val="both"/>
        <w:rPr>
          <w:sz w:val="24"/>
          <w:szCs w:val="24"/>
        </w:rPr>
      </w:pPr>
      <w:r w:rsidRPr="00BC509B">
        <w:rPr>
          <w:sz w:val="24"/>
          <w:szCs w:val="24"/>
        </w:rPr>
        <w:t>Smlouva může být ukončena:</w:t>
      </w:r>
    </w:p>
    <w:p w14:paraId="7228F86C" w14:textId="77777777" w:rsidR="00CB535F" w:rsidRPr="00BC509B" w:rsidRDefault="00CB535F" w:rsidP="00CB535F">
      <w:pPr>
        <w:widowControl w:val="0"/>
        <w:numPr>
          <w:ilvl w:val="1"/>
          <w:numId w:val="14"/>
        </w:numPr>
        <w:suppressAutoHyphens/>
        <w:autoSpaceDE w:val="0"/>
        <w:spacing w:after="60"/>
        <w:ind w:left="709" w:hanging="283"/>
        <w:jc w:val="both"/>
      </w:pPr>
      <w:r w:rsidRPr="00BC509B">
        <w:t xml:space="preserve">písemnou dohodou obou smluvních stran, a to ke dni uvedenému v této dohodě, </w:t>
      </w:r>
    </w:p>
    <w:p w14:paraId="28CF47F7" w14:textId="77777777" w:rsidR="00CB535F" w:rsidRDefault="00CB535F" w:rsidP="00CB535F">
      <w:pPr>
        <w:widowControl w:val="0"/>
        <w:numPr>
          <w:ilvl w:val="1"/>
          <w:numId w:val="14"/>
        </w:numPr>
        <w:suppressAutoHyphens/>
        <w:autoSpaceDE w:val="0"/>
        <w:spacing w:after="60"/>
        <w:ind w:left="709" w:hanging="283"/>
        <w:jc w:val="both"/>
      </w:pPr>
      <w:r w:rsidRPr="00BC509B">
        <w:t>písemnou výpovědí ze strany odběratele i dodavatele</w:t>
      </w:r>
      <w:r>
        <w:t>, a to</w:t>
      </w:r>
      <w:r w:rsidRPr="00BC509B">
        <w:t xml:space="preserve"> s 6-ti měsíční výpovědní</w:t>
      </w:r>
      <w:r>
        <w:t xml:space="preserve"> </w:t>
      </w:r>
      <w:r w:rsidRPr="002F758D">
        <w:t>lhůtou, která začíná běžet od prvního dne měsíce následujícího po doručení výpovědi druhé smluvní straně</w:t>
      </w:r>
      <w:r>
        <w:t>,</w:t>
      </w:r>
    </w:p>
    <w:p w14:paraId="3308849B" w14:textId="77777777" w:rsidR="00CB535F" w:rsidRPr="002A476E" w:rsidRDefault="00CB535F" w:rsidP="00CB535F">
      <w:pPr>
        <w:widowControl w:val="0"/>
        <w:numPr>
          <w:ilvl w:val="1"/>
          <w:numId w:val="14"/>
        </w:numPr>
        <w:suppressAutoHyphens/>
        <w:autoSpaceDE w:val="0"/>
        <w:spacing w:after="60"/>
        <w:ind w:left="709" w:hanging="283"/>
        <w:jc w:val="both"/>
      </w:pPr>
      <w:r w:rsidRPr="002A476E">
        <w:t>odstoupením od smlouvy,</w:t>
      </w:r>
    </w:p>
    <w:p w14:paraId="68D3F8C9" w14:textId="77777777" w:rsidR="00CB535F" w:rsidRPr="002A476E" w:rsidRDefault="00CB535F" w:rsidP="00CB535F">
      <w:pPr>
        <w:widowControl w:val="0"/>
        <w:numPr>
          <w:ilvl w:val="1"/>
          <w:numId w:val="14"/>
        </w:numPr>
        <w:suppressAutoHyphens/>
        <w:autoSpaceDE w:val="0"/>
        <w:spacing w:after="100"/>
        <w:ind w:left="709" w:hanging="284"/>
        <w:jc w:val="both"/>
      </w:pPr>
      <w:r w:rsidRPr="002A476E">
        <w:lastRenderedPageBreak/>
        <w:t>zánikem některé smluvní strany bez právního nástupce.</w:t>
      </w:r>
    </w:p>
    <w:p w14:paraId="26FC25FD" w14:textId="77777777" w:rsidR="00CB535F" w:rsidRPr="00457008" w:rsidRDefault="00CB535F" w:rsidP="00CB535F">
      <w:pPr>
        <w:pStyle w:val="Odstavecseseznamem"/>
        <w:widowControl w:val="0"/>
        <w:numPr>
          <w:ilvl w:val="0"/>
          <w:numId w:val="13"/>
        </w:numPr>
        <w:autoSpaceDE w:val="0"/>
        <w:spacing w:after="60"/>
        <w:ind w:left="284" w:hanging="284"/>
        <w:contextualSpacing w:val="0"/>
        <w:jc w:val="both"/>
        <w:rPr>
          <w:sz w:val="24"/>
          <w:szCs w:val="24"/>
        </w:rPr>
      </w:pPr>
      <w:r w:rsidRPr="00457008">
        <w:rPr>
          <w:sz w:val="24"/>
          <w:szCs w:val="24"/>
        </w:rPr>
        <w:t>Smluvní strany jsou oprávněny od této smlouvy odstoupit pouze v případě, že je to v této smlouvě či v jejích přílohách výslovně sjednáno nebo v případě, že druhá smluvní strana poruší tuto smlouvu podstatným způsobem. V této souvislosti smluvní strany sjednávají, že za podstatné porušení povinnosti je považováno jen:</w:t>
      </w:r>
    </w:p>
    <w:p w14:paraId="324A3520" w14:textId="77777777" w:rsidR="00CB535F" w:rsidRPr="00457008" w:rsidRDefault="00CB535F" w:rsidP="00CB535F">
      <w:pPr>
        <w:pStyle w:val="Odstavecseseznamem"/>
        <w:widowControl w:val="0"/>
        <w:numPr>
          <w:ilvl w:val="0"/>
          <w:numId w:val="16"/>
        </w:numPr>
        <w:autoSpaceDE w:val="0"/>
        <w:spacing w:after="60"/>
        <w:ind w:left="709" w:hanging="284"/>
        <w:contextualSpacing w:val="0"/>
        <w:jc w:val="both"/>
        <w:rPr>
          <w:sz w:val="24"/>
          <w:szCs w:val="24"/>
        </w:rPr>
      </w:pPr>
      <w:r w:rsidRPr="00457008">
        <w:rPr>
          <w:sz w:val="24"/>
          <w:szCs w:val="24"/>
        </w:rPr>
        <w:t>bezdůvodné přerušení dodávky tepelné energie dodavatelem po dobu delší než 30 dní, to však pouze v případě, že dodavatel po uplynutí této doby neobnoví dodávku tepelné energie ani v dodatečně přiměřené lhůtě 10 dnů po prokazatelně doručené písemné výzvě odběratele;</w:t>
      </w:r>
    </w:p>
    <w:p w14:paraId="63E4DAC6" w14:textId="77777777" w:rsidR="00CB535F" w:rsidRPr="00457008" w:rsidRDefault="00CB535F" w:rsidP="00CB535F">
      <w:pPr>
        <w:pStyle w:val="Odstavecseseznamem"/>
        <w:widowControl w:val="0"/>
        <w:numPr>
          <w:ilvl w:val="0"/>
          <w:numId w:val="16"/>
        </w:numPr>
        <w:autoSpaceDE w:val="0"/>
        <w:ind w:left="709" w:hanging="283"/>
        <w:jc w:val="both"/>
        <w:rPr>
          <w:sz w:val="24"/>
          <w:szCs w:val="24"/>
        </w:rPr>
      </w:pPr>
      <w:r w:rsidRPr="00457008">
        <w:rPr>
          <w:sz w:val="24"/>
          <w:szCs w:val="24"/>
        </w:rPr>
        <w:t>prodlení odběratele se zaplacením ceny za dodanou tepelnou energii po dobu více než 30 dní, to však pouze v případě, že Odběratel po uplynutí této doby neuhradí cenu tepelné energie ani v dodatečně přiměřené lhůtě 10 dnů po prokazatelně doručené písemné výzvě dodavatele.</w:t>
      </w:r>
    </w:p>
    <w:p w14:paraId="5DA9C913" w14:textId="77777777" w:rsidR="00CB535F" w:rsidRDefault="00CB535F" w:rsidP="00CB535F">
      <w:pPr>
        <w:widowControl w:val="0"/>
        <w:autoSpaceDE w:val="0"/>
        <w:ind w:left="567"/>
        <w:jc w:val="both"/>
      </w:pPr>
    </w:p>
    <w:p w14:paraId="5593D45D" w14:textId="77777777" w:rsidR="00CB535F" w:rsidRPr="00BC509B" w:rsidRDefault="00CB535F" w:rsidP="00CB535F">
      <w:pPr>
        <w:pStyle w:val="Odstavecseseznamem"/>
        <w:widowControl w:val="0"/>
        <w:numPr>
          <w:ilvl w:val="0"/>
          <w:numId w:val="13"/>
        </w:numPr>
        <w:autoSpaceDE w:val="0"/>
        <w:spacing w:after="100"/>
        <w:ind w:left="284" w:hanging="284"/>
        <w:contextualSpacing w:val="0"/>
        <w:jc w:val="both"/>
        <w:rPr>
          <w:sz w:val="24"/>
          <w:szCs w:val="24"/>
        </w:rPr>
      </w:pPr>
      <w:r w:rsidRPr="00BC509B">
        <w:rPr>
          <w:sz w:val="24"/>
          <w:szCs w:val="24"/>
        </w:rPr>
        <w:t>K datu ukončení smluvního vztahu se obě strany zavazují vyrovnat vzájemně své splatné závazky a pohledávky, jejichž konečné vyrovnání bude provedeno v souladu s cenovým ujednáním, viz Příloha č. 1.</w:t>
      </w:r>
    </w:p>
    <w:p w14:paraId="2346D44B" w14:textId="77777777" w:rsidR="00CB535F" w:rsidRDefault="00CB535F" w:rsidP="00CB535F">
      <w:pPr>
        <w:pStyle w:val="Odstavecseseznamem"/>
        <w:widowControl w:val="0"/>
        <w:numPr>
          <w:ilvl w:val="0"/>
          <w:numId w:val="13"/>
        </w:numPr>
        <w:autoSpaceDE w:val="0"/>
        <w:spacing w:after="100"/>
        <w:ind w:left="284" w:hanging="284"/>
        <w:contextualSpacing w:val="0"/>
        <w:jc w:val="both"/>
        <w:rPr>
          <w:sz w:val="24"/>
          <w:szCs w:val="24"/>
        </w:rPr>
      </w:pPr>
      <w:r w:rsidRPr="00BC509B">
        <w:rPr>
          <w:sz w:val="24"/>
          <w:szCs w:val="24"/>
        </w:rPr>
        <w:t>V případě zániku jedné ze smluvních stran přechází práva a povinnosti sjednané v této smlouvě v plném rozsahu na právního nástupce, nedohodnou-li se smluvní strany před zánikem jinak.</w:t>
      </w:r>
    </w:p>
    <w:p w14:paraId="6F4B1949" w14:textId="77777777" w:rsidR="00CB535F" w:rsidRPr="00705A6C" w:rsidRDefault="00CB535F" w:rsidP="00CB535F">
      <w:pPr>
        <w:jc w:val="center"/>
        <w:rPr>
          <w:b/>
          <w:bCs/>
        </w:rPr>
      </w:pPr>
      <w:r w:rsidRPr="00705A6C">
        <w:rPr>
          <w:b/>
          <w:bCs/>
        </w:rPr>
        <w:t>Článek VII</w:t>
      </w:r>
    </w:p>
    <w:p w14:paraId="2F15EFC5" w14:textId="77777777" w:rsidR="00CB535F" w:rsidRPr="00705A6C" w:rsidRDefault="00CB535F" w:rsidP="00CB535F">
      <w:pPr>
        <w:spacing w:after="200"/>
        <w:jc w:val="center"/>
        <w:rPr>
          <w:b/>
          <w:bCs/>
        </w:rPr>
      </w:pPr>
      <w:r w:rsidRPr="00705A6C">
        <w:rPr>
          <w:b/>
          <w:bCs/>
        </w:rPr>
        <w:t>Ostatní a závěrečná ujednání</w:t>
      </w:r>
    </w:p>
    <w:p w14:paraId="779C21EB" w14:textId="77777777" w:rsidR="00CB535F" w:rsidRPr="00457008" w:rsidRDefault="00CB535F" w:rsidP="00CB535F">
      <w:pPr>
        <w:pStyle w:val="Prosttext1"/>
        <w:numPr>
          <w:ilvl w:val="0"/>
          <w:numId w:val="15"/>
        </w:numPr>
        <w:spacing w:before="120" w:after="100"/>
        <w:ind w:left="284" w:hanging="284"/>
        <w:jc w:val="both"/>
        <w:rPr>
          <w:rFonts w:ascii="Times New Roman" w:hAnsi="Times New Roman"/>
          <w:b w:val="0"/>
          <w:sz w:val="24"/>
          <w:szCs w:val="24"/>
        </w:rPr>
      </w:pPr>
      <w:r w:rsidRPr="00457008">
        <w:rPr>
          <w:rFonts w:ascii="Times New Roman" w:hAnsi="Times New Roman"/>
          <w:b w:val="0"/>
          <w:sz w:val="24"/>
          <w:szCs w:val="24"/>
        </w:rPr>
        <w:t xml:space="preserve">Právní smluvní vztahy mezi smluvními stranami se řídí českým právním řádem. Právní vztahy a otázky touto smlouvou výslovně neupravené se řídí zákonem č. 89/2012 Sb., občanský zákoník, ve znění pozdějších předpisů, zákonem č. 458/2000 Sb., energetický zákon, ve znění pozdějších předpisů.  </w:t>
      </w:r>
    </w:p>
    <w:p w14:paraId="3BCE2DE8" w14:textId="77777777" w:rsidR="00CB535F" w:rsidRPr="00457008" w:rsidRDefault="00CB535F" w:rsidP="00CB535F">
      <w:pPr>
        <w:pStyle w:val="Odstavecseseznamem"/>
        <w:widowControl w:val="0"/>
        <w:numPr>
          <w:ilvl w:val="0"/>
          <w:numId w:val="15"/>
        </w:numPr>
        <w:autoSpaceDE w:val="0"/>
        <w:spacing w:before="120" w:after="100"/>
        <w:ind w:left="284" w:hanging="284"/>
        <w:contextualSpacing w:val="0"/>
        <w:jc w:val="both"/>
        <w:rPr>
          <w:sz w:val="24"/>
          <w:szCs w:val="24"/>
        </w:rPr>
      </w:pPr>
      <w:r w:rsidRPr="00457008">
        <w:rPr>
          <w:sz w:val="24"/>
          <w:szCs w:val="24"/>
        </w:rPr>
        <w:t>Jakákoli změna smluvních podmínek, dohodnutých touto smlouvou včetně příloh, může být provedena pouze formou písemného oboustranně odsouhlaseného, podepsaného a očíslovaného dodatku.</w:t>
      </w:r>
    </w:p>
    <w:p w14:paraId="6FC3E8BB" w14:textId="77777777" w:rsidR="00CB535F" w:rsidRPr="00457008" w:rsidRDefault="00CB535F" w:rsidP="00CB535F">
      <w:pPr>
        <w:pStyle w:val="Odstavecseseznamem"/>
        <w:numPr>
          <w:ilvl w:val="0"/>
          <w:numId w:val="15"/>
        </w:numPr>
        <w:spacing w:after="100"/>
        <w:ind w:left="284" w:hanging="284"/>
        <w:contextualSpacing w:val="0"/>
        <w:jc w:val="both"/>
        <w:rPr>
          <w:sz w:val="24"/>
          <w:szCs w:val="24"/>
        </w:rPr>
      </w:pPr>
      <w:r w:rsidRPr="00457008">
        <w:rPr>
          <w:sz w:val="24"/>
          <w:szCs w:val="24"/>
        </w:rPr>
        <w:t>V případě, že je nebo se stane některé ustanovení této smlouvy neplatné, neúčinné nebo nevykonatelné, nebude tím dotčena platnost, účinnost a vykonatelnost ostatních smluvních ujednání. Smluvní strany jsou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 samé platí i pro případ smluvní mezery.</w:t>
      </w:r>
    </w:p>
    <w:p w14:paraId="49C44AC4" w14:textId="77777777" w:rsidR="00CB535F" w:rsidRPr="00457008" w:rsidRDefault="00CB535F" w:rsidP="00CB535F">
      <w:pPr>
        <w:pStyle w:val="Odstavecseseznamem"/>
        <w:numPr>
          <w:ilvl w:val="0"/>
          <w:numId w:val="15"/>
        </w:numPr>
        <w:spacing w:after="100"/>
        <w:ind w:left="284" w:hanging="284"/>
        <w:contextualSpacing w:val="0"/>
        <w:jc w:val="both"/>
        <w:rPr>
          <w:sz w:val="24"/>
          <w:szCs w:val="24"/>
        </w:rPr>
      </w:pPr>
      <w:r w:rsidRPr="00457008">
        <w:rPr>
          <w:sz w:val="24"/>
          <w:szCs w:val="24"/>
        </w:rPr>
        <w:t>Dodavatel, jakožto správce osobních údajů, odpovědný za jejich řádné zpracování, tímto informuje o způsobu a rozsahu zpracování osobních údajů odběratele, včetně rozsahu práv odběratele souvisejících se zpracováním jeho osobních údajů dodavatelem. Dodavatel zpracovává osobní údaje v souladu s e zákonem č. 110/2019 Sb., o zpracování osobních údajů a v souladu s právem Evropské unie, zejména s nařízením Evropského parlamentu a Rady (EU) ze dne 27. dubna 2016 č. 2016/679, o ochraně fyzických osob v souvislosti se zpracováním osobních údajů a o volném pohybu těchto údajů a o zrušení směrnice 95/46/ES, ve znění pozdějších předpisů (dále jen „nařízení“). Dodavatel zpracovává osobní údaje Odběratele v následujícím rozsahu:</w:t>
      </w:r>
    </w:p>
    <w:p w14:paraId="0A750C5C" w14:textId="77777777" w:rsidR="00CB535F" w:rsidRPr="00457008" w:rsidRDefault="00CB535F" w:rsidP="00CB535F">
      <w:pPr>
        <w:pStyle w:val="Odstavecseseznamem"/>
        <w:numPr>
          <w:ilvl w:val="0"/>
          <w:numId w:val="17"/>
        </w:numPr>
        <w:spacing w:after="60"/>
        <w:ind w:left="851" w:hanging="284"/>
        <w:contextualSpacing w:val="0"/>
        <w:jc w:val="both"/>
        <w:rPr>
          <w:sz w:val="24"/>
          <w:szCs w:val="24"/>
        </w:rPr>
      </w:pPr>
      <w:r w:rsidRPr="00457008">
        <w:rPr>
          <w:sz w:val="24"/>
          <w:szCs w:val="24"/>
        </w:rPr>
        <w:t>identifikační, adresní, kontaktní údaje Odběratele – právnické/fyzické osoby (dále také subjekt údajů)</w:t>
      </w:r>
      <w:r>
        <w:rPr>
          <w:sz w:val="24"/>
          <w:szCs w:val="24"/>
        </w:rPr>
        <w:t>,</w:t>
      </w:r>
    </w:p>
    <w:p w14:paraId="4767E004" w14:textId="77777777" w:rsidR="00CB535F" w:rsidRPr="00457008" w:rsidRDefault="00CB535F" w:rsidP="00CB535F">
      <w:pPr>
        <w:pStyle w:val="Odstavecseseznamem"/>
        <w:numPr>
          <w:ilvl w:val="0"/>
          <w:numId w:val="17"/>
        </w:numPr>
        <w:spacing w:after="100"/>
        <w:ind w:left="851" w:hanging="284"/>
        <w:jc w:val="both"/>
        <w:rPr>
          <w:sz w:val="24"/>
          <w:szCs w:val="24"/>
        </w:rPr>
      </w:pPr>
      <w:r w:rsidRPr="00457008">
        <w:rPr>
          <w:sz w:val="24"/>
          <w:szCs w:val="24"/>
        </w:rPr>
        <w:lastRenderedPageBreak/>
        <w:t>a další údaje (např. bankovní spojení) nezbytné pro efektivní poskytování služby.</w:t>
      </w:r>
    </w:p>
    <w:p w14:paraId="7709D4F0" w14:textId="77777777" w:rsidR="00CB535F" w:rsidRPr="00290303" w:rsidRDefault="00CB535F" w:rsidP="00CB535F">
      <w:pPr>
        <w:pStyle w:val="Zkladntext"/>
        <w:numPr>
          <w:ilvl w:val="0"/>
          <w:numId w:val="15"/>
        </w:numPr>
        <w:suppressAutoHyphens w:val="0"/>
        <w:spacing w:after="100"/>
        <w:ind w:left="284" w:hanging="284"/>
        <w:jc w:val="both"/>
        <w:rPr>
          <w:rFonts w:cs="Arial"/>
          <w:sz w:val="24"/>
          <w:szCs w:val="24"/>
        </w:rPr>
      </w:pPr>
      <w:r w:rsidRPr="00290303">
        <w:rPr>
          <w:rFonts w:cs="Arial"/>
          <w:sz w:val="24"/>
          <w:szCs w:val="24"/>
        </w:rPr>
        <w:t xml:space="preserve">Odběratel uzavřením této smlouvy uděluje souhlas se zasíláním zpráv, informací, urgencí a jiných sdělení prostřednictvím elektronické pošty na své elektronické kontakty. Tento souhlas se vztahuje i na zasílání obchodní sdělení ve věci zajišťování plnění podle energetického zákona a poskytování souvisejících služeb. </w:t>
      </w:r>
    </w:p>
    <w:p w14:paraId="4F3AF312" w14:textId="77777777" w:rsidR="00CB535F" w:rsidRPr="00457008" w:rsidRDefault="00CB535F" w:rsidP="00CB535F">
      <w:pPr>
        <w:pStyle w:val="Zkladntext"/>
        <w:numPr>
          <w:ilvl w:val="0"/>
          <w:numId w:val="15"/>
        </w:numPr>
        <w:suppressAutoHyphens w:val="0"/>
        <w:spacing w:after="100"/>
        <w:ind w:left="284" w:hanging="284"/>
        <w:jc w:val="both"/>
        <w:rPr>
          <w:rFonts w:cs="Arial"/>
          <w:sz w:val="24"/>
          <w:szCs w:val="24"/>
        </w:rPr>
      </w:pPr>
      <w:r w:rsidRPr="00457008">
        <w:rPr>
          <w:rFonts w:cs="Arial"/>
          <w:sz w:val="24"/>
          <w:szCs w:val="24"/>
        </w:rPr>
        <w:t xml:space="preserve">Smluvní strany tímto berou na vědomí, že společnost TEPLO BRUNTÁL, a.s., IČ: 25350676, se sídlem, Bruntál, Šmilovského 659/6, je povinnou osobou ve smyslu ustanovení § 2 odst. 1 zákona č. 340/2015 Sb. o registru smluv. Na základě tohoto zákona podléhá tato smlouva uveřejnění v Registru smluv vedeném Ministerstvem vnitra ČR. Smluvní strany se dohodly, že smlouvu uveřejní v Registru Dodavatel a to ve verzi pro uveřejnění, tj. po znečitelnění informací. V souladu s § 5 odst. 6 výše uvedeného zákona budou ve smlouvě znečitelněny údaje o odběrateli, dodavateli a údaje o cenách. Dodavatel uveřejnění smlouvu prostřednictvím Registru nejpozději do 30 dnů po podpisu. </w:t>
      </w:r>
    </w:p>
    <w:p w14:paraId="238BEB5B" w14:textId="77777777" w:rsidR="00CB535F" w:rsidRPr="00457008" w:rsidRDefault="00CB535F" w:rsidP="00CB535F">
      <w:pPr>
        <w:pStyle w:val="Odstavecseseznamem"/>
        <w:numPr>
          <w:ilvl w:val="0"/>
          <w:numId w:val="15"/>
        </w:numPr>
        <w:spacing w:after="100"/>
        <w:ind w:left="284" w:hanging="284"/>
        <w:contextualSpacing w:val="0"/>
        <w:jc w:val="both"/>
        <w:rPr>
          <w:sz w:val="24"/>
          <w:szCs w:val="24"/>
        </w:rPr>
      </w:pPr>
      <w:r w:rsidRPr="00457008">
        <w:rPr>
          <w:sz w:val="24"/>
          <w:szCs w:val="24"/>
        </w:rPr>
        <w:t>Veškeré aktuální informace o dodávkách tepelné energie jsou vždy oznámeny na webových stránkách společnosti.</w:t>
      </w:r>
    </w:p>
    <w:p w14:paraId="49D0D887" w14:textId="77777777" w:rsidR="00CB535F" w:rsidRPr="00457008" w:rsidRDefault="00CB535F" w:rsidP="00CB535F">
      <w:pPr>
        <w:pStyle w:val="Odstavecseseznamem"/>
        <w:numPr>
          <w:ilvl w:val="0"/>
          <w:numId w:val="15"/>
        </w:numPr>
        <w:spacing w:after="100"/>
        <w:ind w:left="284" w:hanging="284"/>
        <w:contextualSpacing w:val="0"/>
        <w:jc w:val="both"/>
        <w:rPr>
          <w:sz w:val="24"/>
          <w:szCs w:val="24"/>
        </w:rPr>
      </w:pPr>
      <w:r w:rsidRPr="00457008">
        <w:rPr>
          <w:sz w:val="24"/>
          <w:szCs w:val="24"/>
        </w:rPr>
        <w:t>Odběratel se zavazuje nahlásit dodavateli jakékoli změny v osobě odběratele (změna sídla, změna statutárního orgánu, změna neplátce na plátce DPH apod.</w:t>
      </w:r>
      <w:r>
        <w:rPr>
          <w:sz w:val="24"/>
          <w:szCs w:val="24"/>
        </w:rPr>
        <w:t>).</w:t>
      </w:r>
      <w:r w:rsidRPr="00457008">
        <w:rPr>
          <w:sz w:val="24"/>
          <w:szCs w:val="24"/>
        </w:rPr>
        <w:t xml:space="preserve"> </w:t>
      </w:r>
    </w:p>
    <w:p w14:paraId="6C0F7E0B" w14:textId="6CEC15D4" w:rsidR="00CB535F" w:rsidRPr="00CB535F" w:rsidRDefault="00CB535F" w:rsidP="00CB535F">
      <w:pPr>
        <w:pStyle w:val="Odstavecseseznamem"/>
        <w:numPr>
          <w:ilvl w:val="0"/>
          <w:numId w:val="15"/>
        </w:numPr>
        <w:spacing w:after="100"/>
        <w:ind w:left="284" w:hanging="284"/>
        <w:contextualSpacing w:val="0"/>
        <w:jc w:val="both"/>
        <w:rPr>
          <w:sz w:val="24"/>
          <w:szCs w:val="24"/>
        </w:rPr>
      </w:pPr>
      <w:r w:rsidRPr="00CB535F">
        <w:rPr>
          <w:sz w:val="24"/>
          <w:szCs w:val="24"/>
        </w:rPr>
        <w:t>Odběratel přebírá podle § 1765 odst. 2 občanského zákoníku riziko změny okolností v souvislosti s dodávkami dle této smlouvy - pro odběratele tedy bezvýjimečně platí, že změní-li se po uzavření smlouvy okolnosti do té míry, že se plnění podle smlouvy stane pro odběratele obtížnější, nemění to nic na povinnosti odběratele splnit dluh.</w:t>
      </w:r>
    </w:p>
    <w:p w14:paraId="29636562" w14:textId="77777777" w:rsidR="00CB535F" w:rsidRPr="00457008" w:rsidRDefault="00CB535F" w:rsidP="00CB535F">
      <w:pPr>
        <w:pStyle w:val="Odstavecseseznamem"/>
        <w:numPr>
          <w:ilvl w:val="0"/>
          <w:numId w:val="15"/>
        </w:numPr>
        <w:spacing w:after="100"/>
        <w:ind w:left="283" w:hanging="425"/>
        <w:contextualSpacing w:val="0"/>
        <w:jc w:val="both"/>
        <w:rPr>
          <w:sz w:val="24"/>
          <w:szCs w:val="24"/>
        </w:rPr>
      </w:pPr>
      <w:r w:rsidRPr="00457008">
        <w:rPr>
          <w:sz w:val="24"/>
          <w:szCs w:val="24"/>
        </w:rPr>
        <w:t>Práva a povinnosti smluvních stran z této smlouvy vyplývající přechází automaticky na jejich právní nástupce, a také na všechny jejich další právní nástupce. Za právní nástupce jsou považováni i nabyvatelé prostor, které jsou zásobovány teplem podle této smlouvy.</w:t>
      </w:r>
    </w:p>
    <w:p w14:paraId="65351DF7" w14:textId="77777777" w:rsidR="00CB535F" w:rsidRPr="00457008" w:rsidRDefault="00CB535F" w:rsidP="00CB535F">
      <w:pPr>
        <w:pStyle w:val="Odstavecseseznamem"/>
        <w:widowControl w:val="0"/>
        <w:numPr>
          <w:ilvl w:val="0"/>
          <w:numId w:val="15"/>
        </w:numPr>
        <w:autoSpaceDE w:val="0"/>
        <w:spacing w:before="120" w:after="100"/>
        <w:ind w:left="284" w:hanging="426"/>
        <w:contextualSpacing w:val="0"/>
        <w:jc w:val="both"/>
        <w:rPr>
          <w:sz w:val="24"/>
          <w:szCs w:val="24"/>
        </w:rPr>
      </w:pPr>
      <w:r w:rsidRPr="00457008">
        <w:rPr>
          <w:sz w:val="24"/>
          <w:szCs w:val="24"/>
        </w:rPr>
        <w:t>Smlouva je sepsána ve 2 vyhotoveních, z nichž každá ze smluvních stran obdrží po jednom vyhotovení.</w:t>
      </w:r>
    </w:p>
    <w:p w14:paraId="41CB83DE" w14:textId="77777777" w:rsidR="00CB535F" w:rsidRPr="00457008" w:rsidRDefault="00CB535F" w:rsidP="00CB535F">
      <w:pPr>
        <w:pStyle w:val="Odstavecseseznamem"/>
        <w:widowControl w:val="0"/>
        <w:numPr>
          <w:ilvl w:val="0"/>
          <w:numId w:val="15"/>
        </w:numPr>
        <w:autoSpaceDE w:val="0"/>
        <w:spacing w:before="120" w:after="100"/>
        <w:ind w:left="284" w:hanging="426"/>
        <w:contextualSpacing w:val="0"/>
        <w:jc w:val="both"/>
        <w:rPr>
          <w:sz w:val="24"/>
          <w:szCs w:val="24"/>
        </w:rPr>
      </w:pPr>
      <w:r w:rsidRPr="00457008">
        <w:rPr>
          <w:sz w:val="24"/>
          <w:szCs w:val="24"/>
        </w:rPr>
        <w:t>Smluvní strany shodně prohlašují, že si smlouvu řádně přečetly, jejímu obsahu rozuměly a svými podpisy potvrzují, že smlouvu uzavřely dobrovolně a vážně, určitě a srozumitelně podle své pravé a svobodné vůle, nikoliv v tísni nebo za nápadně nevýhodných podmínek.</w:t>
      </w:r>
    </w:p>
    <w:p w14:paraId="378EAE25" w14:textId="77777777" w:rsidR="00CB535F" w:rsidRPr="00457008" w:rsidRDefault="00CB535F" w:rsidP="00CB535F">
      <w:pPr>
        <w:pStyle w:val="Odstavecseseznamem"/>
        <w:widowControl w:val="0"/>
        <w:numPr>
          <w:ilvl w:val="0"/>
          <w:numId w:val="15"/>
        </w:numPr>
        <w:autoSpaceDE w:val="0"/>
        <w:spacing w:before="120" w:after="100"/>
        <w:ind w:left="284" w:hanging="426"/>
        <w:contextualSpacing w:val="0"/>
        <w:jc w:val="both"/>
        <w:rPr>
          <w:sz w:val="24"/>
          <w:szCs w:val="24"/>
        </w:rPr>
      </w:pPr>
      <w:r w:rsidRPr="00457008">
        <w:rPr>
          <w:sz w:val="24"/>
          <w:szCs w:val="24"/>
        </w:rPr>
        <w:t>Podpisem této smlouvy pozbývají platnost všechny smluvní vztahy uzavřené mezi smluvními stranami do dne předcházejícího dni uzavření této smlouvy včetně jejich dodatků a dohod.</w:t>
      </w:r>
    </w:p>
    <w:p w14:paraId="1890BB40" w14:textId="77777777" w:rsidR="00CB535F" w:rsidRPr="00002D7E" w:rsidRDefault="00CB535F" w:rsidP="00CB535F">
      <w:pPr>
        <w:jc w:val="center"/>
        <w:rPr>
          <w:b/>
        </w:rPr>
      </w:pPr>
      <w:r w:rsidRPr="00002D7E">
        <w:rPr>
          <w:b/>
        </w:rPr>
        <w:t>Článek VIII</w:t>
      </w:r>
    </w:p>
    <w:p w14:paraId="036C3289" w14:textId="77777777" w:rsidR="00CB535F" w:rsidRPr="00002D7E" w:rsidRDefault="00CB535F" w:rsidP="00CB535F">
      <w:pPr>
        <w:spacing w:after="200"/>
        <w:jc w:val="center"/>
        <w:rPr>
          <w:b/>
        </w:rPr>
      </w:pPr>
      <w:r w:rsidRPr="00002D7E">
        <w:rPr>
          <w:b/>
        </w:rPr>
        <w:t>Přílohy</w:t>
      </w:r>
    </w:p>
    <w:p w14:paraId="68DB72A8" w14:textId="77777777" w:rsidR="00CB535F" w:rsidRDefault="00CB535F" w:rsidP="00CB535F">
      <w:pPr>
        <w:widowControl w:val="0"/>
        <w:autoSpaceDE w:val="0"/>
        <w:spacing w:before="120" w:after="120"/>
        <w:jc w:val="both"/>
      </w:pPr>
      <w:r>
        <w:t>Nedílnou součástí této smlouvy jsou přílohy:</w:t>
      </w:r>
    </w:p>
    <w:p w14:paraId="45CA7C69" w14:textId="1D143BDF" w:rsidR="00CB535F" w:rsidRDefault="00CB535F" w:rsidP="00CB535F">
      <w:pPr>
        <w:pStyle w:val="WW-Zkladntextodsazen2"/>
        <w:spacing w:after="0" w:line="240" w:lineRule="auto"/>
        <w:ind w:left="1260" w:hanging="1260"/>
        <w:rPr>
          <w:i/>
          <w:sz w:val="24"/>
          <w:szCs w:val="24"/>
        </w:rPr>
      </w:pPr>
      <w:r>
        <w:rPr>
          <w:sz w:val="24"/>
          <w:szCs w:val="24"/>
        </w:rPr>
        <w:t>Příloha č. 1: Cenové ujednání</w:t>
      </w:r>
      <w:r w:rsidRPr="00A32F3C">
        <w:rPr>
          <w:sz w:val="24"/>
          <w:szCs w:val="24"/>
        </w:rPr>
        <w:t>, dohoda o zálohách, odběrový diagram</w:t>
      </w:r>
      <w:r w:rsidR="00297506">
        <w:rPr>
          <w:sz w:val="24"/>
          <w:szCs w:val="24"/>
        </w:rPr>
        <w:t>, platební kalendář</w:t>
      </w:r>
      <w:r>
        <w:rPr>
          <w:sz w:val="24"/>
          <w:szCs w:val="24"/>
        </w:rPr>
        <w:t>.</w:t>
      </w:r>
      <w:r>
        <w:rPr>
          <w:i/>
          <w:sz w:val="24"/>
          <w:szCs w:val="24"/>
        </w:rPr>
        <w:t xml:space="preserve"> </w:t>
      </w:r>
    </w:p>
    <w:p w14:paraId="041398C5" w14:textId="77777777" w:rsidR="00CB535F" w:rsidRDefault="00CB535F" w:rsidP="00CB535F">
      <w:pPr>
        <w:pStyle w:val="WW-Zkladntextodsazen2"/>
        <w:spacing w:after="0" w:line="240" w:lineRule="auto"/>
        <w:ind w:left="0"/>
        <w:jc w:val="both"/>
        <w:rPr>
          <w:sz w:val="24"/>
          <w:szCs w:val="24"/>
        </w:rPr>
      </w:pPr>
      <w:r>
        <w:rPr>
          <w:sz w:val="24"/>
          <w:szCs w:val="24"/>
        </w:rPr>
        <w:t xml:space="preserve">Příloha č. 2: Technické parametry odběrného místa </w:t>
      </w:r>
    </w:p>
    <w:p w14:paraId="5304E72E" w14:textId="20A393C9" w:rsidR="00CB535F" w:rsidRDefault="00CB535F" w:rsidP="00CB535F">
      <w:pPr>
        <w:pStyle w:val="WW-Zkladntextodsazen2"/>
        <w:spacing w:after="0" w:line="240" w:lineRule="auto"/>
        <w:ind w:left="0"/>
        <w:jc w:val="both"/>
        <w:rPr>
          <w:sz w:val="24"/>
          <w:szCs w:val="24"/>
        </w:rPr>
      </w:pPr>
      <w:r>
        <w:rPr>
          <w:sz w:val="24"/>
          <w:szCs w:val="24"/>
        </w:rPr>
        <w:t xml:space="preserve">Příloha č. </w:t>
      </w:r>
      <w:r w:rsidR="00C93840">
        <w:rPr>
          <w:sz w:val="24"/>
          <w:szCs w:val="24"/>
        </w:rPr>
        <w:t>3</w:t>
      </w:r>
      <w:r>
        <w:rPr>
          <w:sz w:val="24"/>
          <w:szCs w:val="24"/>
        </w:rPr>
        <w:t>: Přehled regulačních stupňů</w:t>
      </w:r>
    </w:p>
    <w:p w14:paraId="54DCD772" w14:textId="77777777" w:rsidR="001A1ED6" w:rsidRDefault="001A1ED6" w:rsidP="001A1ED6">
      <w:pPr>
        <w:rPr>
          <w:b/>
        </w:rPr>
      </w:pPr>
    </w:p>
    <w:tbl>
      <w:tblPr>
        <w:tblStyle w:val="Mkatabulky"/>
        <w:tblpPr w:leftFromText="141" w:rightFromText="141"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BJECTIDOM:1,13"/>
      </w:tblPr>
      <w:tblGrid>
        <w:gridCol w:w="4536"/>
        <w:gridCol w:w="4395"/>
      </w:tblGrid>
      <w:tr w:rsidR="00846C62" w14:paraId="340071FA" w14:textId="77777777" w:rsidTr="00846C62">
        <w:trPr>
          <w:cantSplit/>
        </w:trPr>
        <w:tc>
          <w:tcPr>
            <w:tcW w:w="4536" w:type="dxa"/>
          </w:tcPr>
          <w:p w14:paraId="68EA5569" w14:textId="4D6FD5D4" w:rsidR="00846C62" w:rsidRDefault="00846C62" w:rsidP="009F5E64">
            <w:pPr>
              <w:keepNext/>
              <w:keepLines/>
            </w:pPr>
            <w:r w:rsidRPr="00846C62">
              <w:t xml:space="preserve">V </w:t>
            </w:r>
            <w:r>
              <w:t>Bruntále</w:t>
            </w:r>
            <w:r w:rsidRPr="00846C62">
              <w:t xml:space="preserve"> dne:</w:t>
            </w:r>
            <w:r w:rsidR="00E10989">
              <w:t xml:space="preserve"> </w:t>
            </w:r>
            <w:r w:rsidR="00546D81" w:rsidRPr="00546D81">
              <w:t>09.12.2021</w:t>
            </w:r>
          </w:p>
          <w:p w14:paraId="2F1399AD" w14:textId="5CF5CAA9" w:rsidR="00846C62" w:rsidRDefault="00846C62" w:rsidP="009F5E64">
            <w:pPr>
              <w:keepNext/>
              <w:keepLines/>
              <w:spacing w:before="120" w:after="480"/>
            </w:pPr>
            <w:r>
              <w:t>Z dodavatele</w:t>
            </w:r>
          </w:p>
          <w:p w14:paraId="1DFB49EE" w14:textId="1A3D554D" w:rsidR="00846C62" w:rsidRDefault="00846C62" w:rsidP="009F5E64">
            <w:pPr>
              <w:keepNext/>
              <w:keepLines/>
            </w:pPr>
            <w:r>
              <w:t>…………………………………………….</w:t>
            </w:r>
          </w:p>
        </w:tc>
        <w:tc>
          <w:tcPr>
            <w:tcW w:w="4395" w:type="dxa"/>
          </w:tcPr>
          <w:p w14:paraId="135DBFA4" w14:textId="77777777" w:rsidR="00846C62" w:rsidRDefault="00846C62" w:rsidP="009F5E64">
            <w:pPr>
              <w:keepNext/>
              <w:keepLines/>
            </w:pPr>
            <w:r w:rsidRPr="00846C62">
              <w:t>V Bruntále dne:</w:t>
            </w:r>
          </w:p>
          <w:p w14:paraId="702EB15E" w14:textId="77777777" w:rsidR="00846C62" w:rsidRDefault="00846C62" w:rsidP="009F5E64">
            <w:pPr>
              <w:keepNext/>
              <w:keepLines/>
              <w:spacing w:before="120" w:after="480"/>
            </w:pPr>
            <w:r>
              <w:t>Za odběratele</w:t>
            </w:r>
          </w:p>
          <w:p w14:paraId="4C4FFF42" w14:textId="707C7B4F" w:rsidR="00846C62" w:rsidRDefault="00846C62" w:rsidP="009F5E64">
            <w:pPr>
              <w:keepNext/>
              <w:keepLines/>
            </w:pPr>
            <w:r w:rsidRPr="00846C62">
              <w:t>…………………………………………….</w:t>
            </w:r>
          </w:p>
        </w:tc>
      </w:tr>
      <w:tr w:rsidR="00846C62" w14:paraId="6B56EC11" w14:textId="77777777" w:rsidTr="00682EFC">
        <w:trPr>
          <w:cantSplit/>
        </w:trPr>
        <w:tc>
          <w:tcPr>
            <w:tcW w:w="4536" w:type="dxa"/>
          </w:tcPr>
          <w:p w14:paraId="54523975" w14:textId="44AC2DBC" w:rsidR="00846C62" w:rsidRDefault="00B11BCE" w:rsidP="009F5E64">
            <w:pPr>
              <w:keepNext/>
              <w:keepLines/>
              <w:jc w:val="center"/>
            </w:pPr>
            <w:r>
              <w:t>xxxxxxxxxxxxxxx</w:t>
            </w:r>
          </w:p>
          <w:p w14:paraId="678696EE" w14:textId="6B9761DE" w:rsidR="00D56DDC" w:rsidRDefault="00D56DDC" w:rsidP="009F5E64">
            <w:pPr>
              <w:keepNext/>
              <w:keepLines/>
              <w:jc w:val="center"/>
            </w:pPr>
            <w:r>
              <w:t>ředitel společnosti</w:t>
            </w:r>
          </w:p>
        </w:tc>
        <w:tc>
          <w:tcPr>
            <w:tcW w:w="4395"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INCONTACTID2:1,2"/>
            </w:tblPr>
            <w:tblGrid>
              <w:gridCol w:w="4169"/>
            </w:tblGrid>
            <w:tr w:rsidR="00937D09" w14:paraId="54DFB968" w14:textId="77777777" w:rsidTr="00937D09">
              <w:tc>
                <w:tcPr>
                  <w:tcW w:w="4169" w:type="dxa"/>
                </w:tcPr>
                <w:p w14:paraId="4AEF2EB5" w14:textId="3E69470F" w:rsidR="00937D09" w:rsidRDefault="00937D09" w:rsidP="00437FD0">
                  <w:pPr>
                    <w:keepNext/>
                    <w:keepLines/>
                    <w:framePr w:hSpace="141" w:wrap="around" w:vAnchor="text" w:hAnchor="text" w:x="-5" w:y="1"/>
                    <w:suppressOverlap/>
                    <w:jc w:val="center"/>
                  </w:pPr>
                  <w:r w:rsidRPr="00937D09">
                    <w:t>Ing. Petr Rys</w:t>
                  </w:r>
                  <w:r w:rsidR="00C93840">
                    <w:t>,</w:t>
                  </w:r>
                  <w:r w:rsidRPr="00937D09">
                    <w:t xml:space="preserve"> MBA</w:t>
                  </w:r>
                </w:p>
              </w:tc>
            </w:tr>
            <w:tr w:rsidR="00937D09" w14:paraId="0688D2E6" w14:textId="77777777" w:rsidTr="00937D09">
              <w:tc>
                <w:tcPr>
                  <w:tcW w:w="4169" w:type="dxa"/>
                </w:tcPr>
                <w:p w14:paraId="25D8BAF3" w14:textId="37D4A51D" w:rsidR="00937D09" w:rsidRDefault="00937D09" w:rsidP="00437FD0">
                  <w:pPr>
                    <w:keepNext/>
                    <w:keepLines/>
                    <w:framePr w:hSpace="141" w:wrap="around" w:vAnchor="text" w:hAnchor="text" w:x="-5" w:y="1"/>
                    <w:suppressOverlap/>
                    <w:jc w:val="center"/>
                  </w:pPr>
                  <w:r w:rsidRPr="00937D09">
                    <w:t>starosta města</w:t>
                  </w:r>
                </w:p>
              </w:tc>
            </w:tr>
          </w:tbl>
          <w:p w14:paraId="441817D4" w14:textId="130667E9" w:rsidR="00846C62" w:rsidRDefault="00846C62" w:rsidP="009F5E64">
            <w:pPr>
              <w:keepNext/>
              <w:keepLines/>
            </w:pPr>
          </w:p>
        </w:tc>
      </w:tr>
    </w:tbl>
    <w:p w14:paraId="191E2A71" w14:textId="77777777" w:rsidR="007F12C2" w:rsidRDefault="007F12C2"/>
    <w:sectPr w:rsidR="007F12C2" w:rsidSect="00AF673E">
      <w:footerReference w:type="even" r:id="rId9"/>
      <w:footerReference w:type="default" r:id="rId10"/>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8ABF8" w14:textId="77777777" w:rsidR="008D77AB" w:rsidRDefault="008D77AB">
      <w:r>
        <w:separator/>
      </w:r>
    </w:p>
  </w:endnote>
  <w:endnote w:type="continuationSeparator" w:id="0">
    <w:p w14:paraId="2CDEE16E" w14:textId="77777777" w:rsidR="008D77AB" w:rsidRDefault="008D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5B8F0" w14:textId="77777777" w:rsidR="007C46AC" w:rsidRDefault="007C46AC" w:rsidP="008E1E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092DEA" w14:textId="77777777" w:rsidR="007C46AC" w:rsidRDefault="007C46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BFBD" w14:textId="57E0E484" w:rsidR="007C46AC" w:rsidRDefault="007C46AC" w:rsidP="008E1E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052EC">
      <w:rPr>
        <w:rStyle w:val="slostrnky"/>
      </w:rPr>
      <w:t>7</w:t>
    </w:r>
    <w:r>
      <w:rPr>
        <w:rStyle w:val="slostrnky"/>
      </w:rPr>
      <w:fldChar w:fldCharType="end"/>
    </w:r>
  </w:p>
  <w:p w14:paraId="0356389D" w14:textId="77777777" w:rsidR="007C46AC" w:rsidRDefault="007C46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2D556" w14:textId="77777777" w:rsidR="008D77AB" w:rsidRDefault="008D77AB">
      <w:r>
        <w:separator/>
      </w:r>
    </w:p>
  </w:footnote>
  <w:footnote w:type="continuationSeparator" w:id="0">
    <w:p w14:paraId="013E6619" w14:textId="77777777" w:rsidR="008D77AB" w:rsidRDefault="008D7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7B5F"/>
    <w:multiLevelType w:val="hybridMultilevel"/>
    <w:tmpl w:val="72162432"/>
    <w:lvl w:ilvl="0" w:tplc="518840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053C67"/>
    <w:multiLevelType w:val="hybridMultilevel"/>
    <w:tmpl w:val="D95ADA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CB6DAF"/>
    <w:multiLevelType w:val="hybridMultilevel"/>
    <w:tmpl w:val="77740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32373B"/>
    <w:multiLevelType w:val="hybridMultilevel"/>
    <w:tmpl w:val="67B646D0"/>
    <w:lvl w:ilvl="0" w:tplc="D362D70C">
      <w:start w:val="1"/>
      <w:numFmt w:val="decimal"/>
      <w:lvlText w:val="%1."/>
      <w:lvlJc w:val="left"/>
      <w:pPr>
        <w:ind w:left="720" w:hanging="360"/>
      </w:pPr>
      <w:rPr>
        <w:rFonts w:ascii="Times New Roman" w:hAnsi="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F74AA6"/>
    <w:multiLevelType w:val="hybridMultilevel"/>
    <w:tmpl w:val="1FFC8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A71095"/>
    <w:multiLevelType w:val="hybridMultilevel"/>
    <w:tmpl w:val="CC9623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1C0B6A"/>
    <w:multiLevelType w:val="hybridMultilevel"/>
    <w:tmpl w:val="21B0A6CC"/>
    <w:lvl w:ilvl="0" w:tplc="04050017">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7" w15:restartNumberingAfterBreak="0">
    <w:nsid w:val="434A2E4A"/>
    <w:multiLevelType w:val="hybridMultilevel"/>
    <w:tmpl w:val="048A6A3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5D74FF"/>
    <w:multiLevelType w:val="hybridMultilevel"/>
    <w:tmpl w:val="AAFC3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0E68C9"/>
    <w:multiLevelType w:val="hybridMultilevel"/>
    <w:tmpl w:val="7584D6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4E4053"/>
    <w:multiLevelType w:val="hybridMultilevel"/>
    <w:tmpl w:val="77740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5F060B"/>
    <w:multiLevelType w:val="hybridMultilevel"/>
    <w:tmpl w:val="F6BE93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CB7326"/>
    <w:multiLevelType w:val="hybridMultilevel"/>
    <w:tmpl w:val="13BA1C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16535F"/>
    <w:multiLevelType w:val="hybridMultilevel"/>
    <w:tmpl w:val="85C8C492"/>
    <w:lvl w:ilvl="0" w:tplc="04050015">
      <w:start w:val="1"/>
      <w:numFmt w:val="upperLetter"/>
      <w:lvlText w:val="%1."/>
      <w:lvlJc w:val="left"/>
      <w:pPr>
        <w:tabs>
          <w:tab w:val="num" w:pos="720"/>
        </w:tabs>
        <w:ind w:left="720" w:hanging="360"/>
      </w:pPr>
    </w:lvl>
    <w:lvl w:ilvl="1" w:tplc="EAF2C998">
      <w:start w:val="1"/>
      <w:numFmt w:val="decimal"/>
      <w:lvlText w:val="(%2)"/>
      <w:lvlJc w:val="left"/>
      <w:pPr>
        <w:tabs>
          <w:tab w:val="num" w:pos="1440"/>
        </w:tabs>
        <w:ind w:left="1440" w:hanging="360"/>
      </w:pPr>
    </w:lvl>
    <w:lvl w:ilvl="2" w:tplc="AA644352">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68606595"/>
    <w:multiLevelType w:val="hybridMultilevel"/>
    <w:tmpl w:val="849CCCDA"/>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6B1D0A6B"/>
    <w:multiLevelType w:val="hybridMultilevel"/>
    <w:tmpl w:val="11D8D6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226697"/>
    <w:multiLevelType w:val="hybridMultilevel"/>
    <w:tmpl w:val="19285CAC"/>
    <w:lvl w:ilvl="0" w:tplc="EC4E21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5"/>
  </w:num>
  <w:num w:numId="5">
    <w:abstractNumId w:val="0"/>
  </w:num>
  <w:num w:numId="6">
    <w:abstractNumId w:val="1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2"/>
  </w:num>
  <w:num w:numId="11">
    <w:abstractNumId w:val="9"/>
  </w:num>
  <w:num w:numId="12">
    <w:abstractNumId w:val="15"/>
  </w:num>
  <w:num w:numId="13">
    <w:abstractNumId w:val="1"/>
  </w:num>
  <w:num w:numId="14">
    <w:abstractNumId w:val="7"/>
  </w:num>
  <w:num w:numId="15">
    <w:abstractNumId w:val="3"/>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BA"/>
    <w:rsid w:val="00003A4B"/>
    <w:rsid w:val="000248AC"/>
    <w:rsid w:val="000426D3"/>
    <w:rsid w:val="00051116"/>
    <w:rsid w:val="0005734B"/>
    <w:rsid w:val="000711F8"/>
    <w:rsid w:val="00077D5C"/>
    <w:rsid w:val="00083B5F"/>
    <w:rsid w:val="00084F7C"/>
    <w:rsid w:val="000A7380"/>
    <w:rsid w:val="000B1750"/>
    <w:rsid w:val="000B3142"/>
    <w:rsid w:val="000E3E3D"/>
    <w:rsid w:val="000F246E"/>
    <w:rsid w:val="000F6896"/>
    <w:rsid w:val="001025EB"/>
    <w:rsid w:val="00126374"/>
    <w:rsid w:val="00126F8C"/>
    <w:rsid w:val="00135800"/>
    <w:rsid w:val="00150C4E"/>
    <w:rsid w:val="001511DF"/>
    <w:rsid w:val="00166588"/>
    <w:rsid w:val="00182858"/>
    <w:rsid w:val="00186E19"/>
    <w:rsid w:val="00187F3F"/>
    <w:rsid w:val="0019163E"/>
    <w:rsid w:val="001A1ED6"/>
    <w:rsid w:val="001B176A"/>
    <w:rsid w:val="001C139B"/>
    <w:rsid w:val="001C6C75"/>
    <w:rsid w:val="001D02ED"/>
    <w:rsid w:val="001D6F0C"/>
    <w:rsid w:val="001F2E56"/>
    <w:rsid w:val="001F75D1"/>
    <w:rsid w:val="00214664"/>
    <w:rsid w:val="00235CE6"/>
    <w:rsid w:val="00287893"/>
    <w:rsid w:val="00297506"/>
    <w:rsid w:val="002A163B"/>
    <w:rsid w:val="002A3474"/>
    <w:rsid w:val="002C53DF"/>
    <w:rsid w:val="002E2286"/>
    <w:rsid w:val="002F7A15"/>
    <w:rsid w:val="00302151"/>
    <w:rsid w:val="003052EC"/>
    <w:rsid w:val="003101B0"/>
    <w:rsid w:val="00312AF7"/>
    <w:rsid w:val="003136DE"/>
    <w:rsid w:val="0033082D"/>
    <w:rsid w:val="00332A47"/>
    <w:rsid w:val="003754BA"/>
    <w:rsid w:val="0037733B"/>
    <w:rsid w:val="003939FC"/>
    <w:rsid w:val="003A3FDC"/>
    <w:rsid w:val="003B45BF"/>
    <w:rsid w:val="003C6A42"/>
    <w:rsid w:val="003D0A2F"/>
    <w:rsid w:val="003D6FA9"/>
    <w:rsid w:val="003E5CB5"/>
    <w:rsid w:val="00402600"/>
    <w:rsid w:val="00414923"/>
    <w:rsid w:val="00431F9A"/>
    <w:rsid w:val="00437FD0"/>
    <w:rsid w:val="00441C51"/>
    <w:rsid w:val="00446F20"/>
    <w:rsid w:val="00470A72"/>
    <w:rsid w:val="004929DA"/>
    <w:rsid w:val="004A1FC8"/>
    <w:rsid w:val="004A2F4D"/>
    <w:rsid w:val="004B6C3A"/>
    <w:rsid w:val="004B7C06"/>
    <w:rsid w:val="004C1DFB"/>
    <w:rsid w:val="004C6FF5"/>
    <w:rsid w:val="004D15C7"/>
    <w:rsid w:val="004D3B82"/>
    <w:rsid w:val="004D7200"/>
    <w:rsid w:val="00506CB1"/>
    <w:rsid w:val="00525A67"/>
    <w:rsid w:val="00537793"/>
    <w:rsid w:val="005379B8"/>
    <w:rsid w:val="00546D81"/>
    <w:rsid w:val="00547392"/>
    <w:rsid w:val="005624D2"/>
    <w:rsid w:val="00571B8D"/>
    <w:rsid w:val="005B337A"/>
    <w:rsid w:val="005E6132"/>
    <w:rsid w:val="005F1EBA"/>
    <w:rsid w:val="005F6A18"/>
    <w:rsid w:val="00600C46"/>
    <w:rsid w:val="00617F82"/>
    <w:rsid w:val="0063063E"/>
    <w:rsid w:val="006364CB"/>
    <w:rsid w:val="00637BA9"/>
    <w:rsid w:val="006410FB"/>
    <w:rsid w:val="00647E11"/>
    <w:rsid w:val="0065522C"/>
    <w:rsid w:val="00655B76"/>
    <w:rsid w:val="006624D7"/>
    <w:rsid w:val="0066498D"/>
    <w:rsid w:val="006753D2"/>
    <w:rsid w:val="00675B8C"/>
    <w:rsid w:val="006931D8"/>
    <w:rsid w:val="00695C73"/>
    <w:rsid w:val="006A4B21"/>
    <w:rsid w:val="006A70E2"/>
    <w:rsid w:val="006A7B52"/>
    <w:rsid w:val="006B259C"/>
    <w:rsid w:val="006D75FD"/>
    <w:rsid w:val="006F0F9C"/>
    <w:rsid w:val="006F360D"/>
    <w:rsid w:val="006F7306"/>
    <w:rsid w:val="0071262E"/>
    <w:rsid w:val="00725872"/>
    <w:rsid w:val="00727A49"/>
    <w:rsid w:val="00730812"/>
    <w:rsid w:val="007326B0"/>
    <w:rsid w:val="00753672"/>
    <w:rsid w:val="0076041C"/>
    <w:rsid w:val="0078560F"/>
    <w:rsid w:val="00790D6D"/>
    <w:rsid w:val="007B616F"/>
    <w:rsid w:val="007C3403"/>
    <w:rsid w:val="007C3A47"/>
    <w:rsid w:val="007C3F75"/>
    <w:rsid w:val="007C46AC"/>
    <w:rsid w:val="007C4922"/>
    <w:rsid w:val="007F12C2"/>
    <w:rsid w:val="007F1BBA"/>
    <w:rsid w:val="007F364D"/>
    <w:rsid w:val="007F68C1"/>
    <w:rsid w:val="00802175"/>
    <w:rsid w:val="0081002E"/>
    <w:rsid w:val="00812ED0"/>
    <w:rsid w:val="00825445"/>
    <w:rsid w:val="00835C50"/>
    <w:rsid w:val="00843084"/>
    <w:rsid w:val="00846C62"/>
    <w:rsid w:val="00846ED9"/>
    <w:rsid w:val="008629E1"/>
    <w:rsid w:val="008644AD"/>
    <w:rsid w:val="0086720C"/>
    <w:rsid w:val="008834FE"/>
    <w:rsid w:val="00885344"/>
    <w:rsid w:val="008A0970"/>
    <w:rsid w:val="008A78B5"/>
    <w:rsid w:val="008B189F"/>
    <w:rsid w:val="008B6E64"/>
    <w:rsid w:val="008D0289"/>
    <w:rsid w:val="008D448D"/>
    <w:rsid w:val="008D669C"/>
    <w:rsid w:val="008D753A"/>
    <w:rsid w:val="008D77AB"/>
    <w:rsid w:val="008E1E91"/>
    <w:rsid w:val="00937D09"/>
    <w:rsid w:val="00946595"/>
    <w:rsid w:val="0097661F"/>
    <w:rsid w:val="00982361"/>
    <w:rsid w:val="00985C3E"/>
    <w:rsid w:val="009874A6"/>
    <w:rsid w:val="009928D0"/>
    <w:rsid w:val="00996AFD"/>
    <w:rsid w:val="009B103F"/>
    <w:rsid w:val="009B7A91"/>
    <w:rsid w:val="009C4642"/>
    <w:rsid w:val="009C47A9"/>
    <w:rsid w:val="009D6098"/>
    <w:rsid w:val="009F5E64"/>
    <w:rsid w:val="00A12A57"/>
    <w:rsid w:val="00A143F8"/>
    <w:rsid w:val="00A17BD9"/>
    <w:rsid w:val="00A262C6"/>
    <w:rsid w:val="00A33330"/>
    <w:rsid w:val="00A37C9C"/>
    <w:rsid w:val="00A70CAE"/>
    <w:rsid w:val="00A7734D"/>
    <w:rsid w:val="00A87509"/>
    <w:rsid w:val="00AA2123"/>
    <w:rsid w:val="00AA59AA"/>
    <w:rsid w:val="00AB1378"/>
    <w:rsid w:val="00AC09AF"/>
    <w:rsid w:val="00AC5456"/>
    <w:rsid w:val="00AF673E"/>
    <w:rsid w:val="00B11BCE"/>
    <w:rsid w:val="00B14AC0"/>
    <w:rsid w:val="00B206CE"/>
    <w:rsid w:val="00B20DD9"/>
    <w:rsid w:val="00B43B4B"/>
    <w:rsid w:val="00B67B29"/>
    <w:rsid w:val="00B73B62"/>
    <w:rsid w:val="00B8134C"/>
    <w:rsid w:val="00BC338F"/>
    <w:rsid w:val="00BD5811"/>
    <w:rsid w:val="00BD6473"/>
    <w:rsid w:val="00BE4BE7"/>
    <w:rsid w:val="00BF5145"/>
    <w:rsid w:val="00C00D40"/>
    <w:rsid w:val="00C158DC"/>
    <w:rsid w:val="00C264CC"/>
    <w:rsid w:val="00C2741B"/>
    <w:rsid w:val="00C52AAB"/>
    <w:rsid w:val="00C52BBC"/>
    <w:rsid w:val="00C61516"/>
    <w:rsid w:val="00C64F3C"/>
    <w:rsid w:val="00C7324D"/>
    <w:rsid w:val="00C93840"/>
    <w:rsid w:val="00C979E8"/>
    <w:rsid w:val="00CB535F"/>
    <w:rsid w:val="00CB5E2C"/>
    <w:rsid w:val="00CD04CB"/>
    <w:rsid w:val="00CD4298"/>
    <w:rsid w:val="00CF562A"/>
    <w:rsid w:val="00D115FB"/>
    <w:rsid w:val="00D24674"/>
    <w:rsid w:val="00D42F76"/>
    <w:rsid w:val="00D51AF5"/>
    <w:rsid w:val="00D54601"/>
    <w:rsid w:val="00D5530B"/>
    <w:rsid w:val="00D56DDC"/>
    <w:rsid w:val="00D74293"/>
    <w:rsid w:val="00D91CC2"/>
    <w:rsid w:val="00D97745"/>
    <w:rsid w:val="00DA0F80"/>
    <w:rsid w:val="00DC5EA3"/>
    <w:rsid w:val="00DE3BC4"/>
    <w:rsid w:val="00DF2931"/>
    <w:rsid w:val="00DF37B6"/>
    <w:rsid w:val="00E10989"/>
    <w:rsid w:val="00E14163"/>
    <w:rsid w:val="00E270F1"/>
    <w:rsid w:val="00E4310A"/>
    <w:rsid w:val="00E5368B"/>
    <w:rsid w:val="00E54EA9"/>
    <w:rsid w:val="00E66990"/>
    <w:rsid w:val="00E80C57"/>
    <w:rsid w:val="00E82074"/>
    <w:rsid w:val="00EB2124"/>
    <w:rsid w:val="00EB5DC3"/>
    <w:rsid w:val="00EC2667"/>
    <w:rsid w:val="00EC52ED"/>
    <w:rsid w:val="00EC7528"/>
    <w:rsid w:val="00ED16EB"/>
    <w:rsid w:val="00ED2AAF"/>
    <w:rsid w:val="00EE25DF"/>
    <w:rsid w:val="00EF2440"/>
    <w:rsid w:val="00F12B18"/>
    <w:rsid w:val="00F50087"/>
    <w:rsid w:val="00F510FD"/>
    <w:rsid w:val="00F86D98"/>
    <w:rsid w:val="00F95780"/>
    <w:rsid w:val="00FA704C"/>
    <w:rsid w:val="00FB4FA8"/>
    <w:rsid w:val="00FE30A5"/>
    <w:rsid w:val="00FE347B"/>
    <w:rsid w:val="00FF2B55"/>
    <w:rsid w:val="00FF5AE0"/>
    <w:rsid w:val="00FF5C96"/>
    <w:rsid w:val="0F4C2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6D257"/>
  <w15:docId w15:val="{0CE07ADA-E407-4D4F-87C9-637752E9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25872"/>
    <w:rPr>
      <w:noProof/>
      <w:sz w:val="24"/>
      <w:szCs w:val="24"/>
    </w:rPr>
  </w:style>
  <w:style w:type="paragraph" w:styleId="Nadpis1">
    <w:name w:val="heading 1"/>
    <w:basedOn w:val="Normln"/>
    <w:next w:val="Normln"/>
    <w:qFormat/>
    <w:rsid w:val="001025EB"/>
    <w:pPr>
      <w:keepNext/>
      <w:spacing w:before="240" w:after="60"/>
      <w:outlineLvl w:val="0"/>
    </w:pPr>
    <w:rPr>
      <w:rFonts w:cs="Arial"/>
      <w:b/>
      <w:bCs/>
      <w:kern w:val="32"/>
      <w:sz w:val="32"/>
      <w:szCs w:val="32"/>
    </w:rPr>
  </w:style>
  <w:style w:type="paragraph" w:styleId="Nadpis2">
    <w:name w:val="heading 2"/>
    <w:basedOn w:val="Normln"/>
    <w:next w:val="Normln"/>
    <w:qFormat/>
    <w:rsid w:val="001025EB"/>
    <w:pPr>
      <w:keepNext/>
      <w:spacing w:before="240" w:after="60"/>
      <w:outlineLvl w:val="1"/>
    </w:pPr>
    <w:rPr>
      <w:rFonts w:cs="Arial"/>
      <w:b/>
      <w:bCs/>
      <w:iCs/>
      <w:sz w:val="28"/>
      <w:szCs w:val="28"/>
    </w:rPr>
  </w:style>
  <w:style w:type="paragraph" w:styleId="Nadpis3">
    <w:name w:val="heading 3"/>
    <w:basedOn w:val="Normln"/>
    <w:next w:val="Normln"/>
    <w:qFormat/>
    <w:rsid w:val="001025EB"/>
    <w:pPr>
      <w:keepNext/>
      <w:spacing w:before="240" w:after="60"/>
      <w:outlineLvl w:val="2"/>
    </w:pPr>
    <w:rPr>
      <w:rFonts w:cs="Arial"/>
      <w:bCs/>
      <w:sz w:val="28"/>
      <w:szCs w:val="26"/>
    </w:rPr>
  </w:style>
  <w:style w:type="paragraph" w:styleId="Nadpis4">
    <w:name w:val="heading 4"/>
    <w:basedOn w:val="Normln"/>
    <w:next w:val="Normln"/>
    <w:qFormat/>
    <w:rsid w:val="001025EB"/>
    <w:pPr>
      <w:keepNext/>
      <w:spacing w:before="240" w:after="60" w:line="360" w:lineRule="auto"/>
      <w:outlineLvl w:val="3"/>
    </w:pPr>
    <w:rPr>
      <w:b/>
      <w:bCs/>
      <w:szCs w:val="28"/>
    </w:rPr>
  </w:style>
  <w:style w:type="paragraph" w:styleId="Nadpis5">
    <w:name w:val="heading 5"/>
    <w:basedOn w:val="Normln"/>
    <w:next w:val="Normln"/>
    <w:qFormat/>
    <w:rsid w:val="001025EB"/>
    <w:pPr>
      <w:spacing w:before="240" w:after="60"/>
      <w:outlineLvl w:val="4"/>
    </w:pPr>
    <w:rPr>
      <w:b/>
      <w:bCs/>
      <w:i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dkovn15dku">
    <w:name w:val="Nadpis 2 + Řádkování:  15 řádku"/>
    <w:basedOn w:val="Nadpis2"/>
    <w:rsid w:val="001025EB"/>
    <w:pPr>
      <w:spacing w:line="360" w:lineRule="auto"/>
    </w:pPr>
    <w:rPr>
      <w:rFonts w:cs="Times New Roman"/>
      <w:iCs w:val="0"/>
      <w:szCs w:val="20"/>
    </w:rPr>
  </w:style>
  <w:style w:type="paragraph" w:customStyle="1" w:styleId="StylPrvndek125cmdkovn15dku">
    <w:name w:val="Styl První řádek:  125 cm Řádkování:  15 řádku"/>
    <w:basedOn w:val="Normln"/>
    <w:rsid w:val="006A7B52"/>
    <w:pPr>
      <w:spacing w:line="360" w:lineRule="auto"/>
      <w:ind w:firstLine="708"/>
      <w:jc w:val="both"/>
    </w:pPr>
    <w:rPr>
      <w:szCs w:val="20"/>
    </w:rPr>
  </w:style>
  <w:style w:type="paragraph" w:customStyle="1" w:styleId="Styldkovn15dku">
    <w:name w:val="Styl Řádkování:  15 řádku"/>
    <w:basedOn w:val="Normln"/>
    <w:rsid w:val="006A7B52"/>
    <w:pPr>
      <w:spacing w:line="360" w:lineRule="auto"/>
      <w:ind w:firstLine="709"/>
      <w:jc w:val="both"/>
    </w:pPr>
    <w:rPr>
      <w:szCs w:val="20"/>
    </w:rPr>
  </w:style>
  <w:style w:type="paragraph" w:customStyle="1" w:styleId="StylZarovnatdoblokudkovn15dku">
    <w:name w:val="Styl Zarovnat do bloku Řádkování:  15 řádku"/>
    <w:basedOn w:val="Normln"/>
    <w:autoRedefine/>
    <w:rsid w:val="006A7B52"/>
    <w:pPr>
      <w:spacing w:line="360" w:lineRule="auto"/>
      <w:ind w:firstLine="709"/>
      <w:jc w:val="both"/>
    </w:pPr>
    <w:rPr>
      <w:szCs w:val="20"/>
    </w:rPr>
  </w:style>
  <w:style w:type="character" w:styleId="Hypertextovodkaz">
    <w:name w:val="Hyperlink"/>
    <w:basedOn w:val="Standardnpsmoodstavce"/>
    <w:uiPriority w:val="99"/>
    <w:rsid w:val="00725872"/>
    <w:rPr>
      <w:color w:val="0000FF"/>
      <w:u w:val="single"/>
    </w:rPr>
  </w:style>
  <w:style w:type="paragraph" w:styleId="Zpat">
    <w:name w:val="footer"/>
    <w:basedOn w:val="Normln"/>
    <w:rsid w:val="00725872"/>
    <w:pPr>
      <w:tabs>
        <w:tab w:val="center" w:pos="4536"/>
        <w:tab w:val="right" w:pos="9072"/>
      </w:tabs>
    </w:pPr>
  </w:style>
  <w:style w:type="character" w:styleId="slostrnky">
    <w:name w:val="page number"/>
    <w:basedOn w:val="Standardnpsmoodstavce"/>
    <w:rsid w:val="00725872"/>
  </w:style>
  <w:style w:type="paragraph" w:styleId="Textbubliny">
    <w:name w:val="Balloon Text"/>
    <w:basedOn w:val="Normln"/>
    <w:link w:val="TextbublinyChar"/>
    <w:rsid w:val="00CB5E2C"/>
    <w:rPr>
      <w:rFonts w:ascii="Tahoma" w:hAnsi="Tahoma" w:cs="Tahoma"/>
      <w:sz w:val="16"/>
      <w:szCs w:val="16"/>
    </w:rPr>
  </w:style>
  <w:style w:type="character" w:customStyle="1" w:styleId="TextbublinyChar">
    <w:name w:val="Text bubliny Char"/>
    <w:basedOn w:val="Standardnpsmoodstavce"/>
    <w:link w:val="Textbubliny"/>
    <w:rsid w:val="00CB5E2C"/>
    <w:rPr>
      <w:rFonts w:ascii="Tahoma" w:hAnsi="Tahoma" w:cs="Tahoma"/>
      <w:sz w:val="16"/>
      <w:szCs w:val="16"/>
    </w:rPr>
  </w:style>
  <w:style w:type="table" w:styleId="Mkatabulky">
    <w:name w:val="Table Grid"/>
    <w:basedOn w:val="Normlntabulka"/>
    <w:uiPriority w:val="39"/>
    <w:rsid w:val="00CB5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kladntextodsazen2">
    <w:name w:val="WW-Základní text odsazený 2"/>
    <w:basedOn w:val="Normln"/>
    <w:rsid w:val="001A1ED6"/>
    <w:pPr>
      <w:suppressAutoHyphens/>
      <w:spacing w:after="120" w:line="480" w:lineRule="auto"/>
      <w:ind w:left="283"/>
    </w:pPr>
    <w:rPr>
      <w:sz w:val="20"/>
      <w:szCs w:val="20"/>
      <w:lang w:eastAsia="ar-SA"/>
    </w:rPr>
  </w:style>
  <w:style w:type="paragraph" w:styleId="Odstavecseseznamem">
    <w:name w:val="List Paragraph"/>
    <w:basedOn w:val="Normln"/>
    <w:uiPriority w:val="34"/>
    <w:qFormat/>
    <w:rsid w:val="001A1ED6"/>
    <w:pPr>
      <w:suppressAutoHyphens/>
      <w:ind w:left="720"/>
      <w:contextualSpacing/>
    </w:pPr>
    <w:rPr>
      <w:sz w:val="20"/>
      <w:szCs w:val="20"/>
      <w:lang w:eastAsia="ar-SA"/>
    </w:rPr>
  </w:style>
  <w:style w:type="paragraph" w:customStyle="1" w:styleId="Prosttext1">
    <w:name w:val="Prostý text1"/>
    <w:basedOn w:val="Normln"/>
    <w:rsid w:val="00CB535F"/>
    <w:pPr>
      <w:widowControl w:val="0"/>
      <w:overflowPunct w:val="0"/>
      <w:autoSpaceDE w:val="0"/>
      <w:autoSpaceDN w:val="0"/>
      <w:adjustRightInd w:val="0"/>
      <w:textAlignment w:val="baseline"/>
    </w:pPr>
    <w:rPr>
      <w:rFonts w:ascii="Courier New" w:hAnsi="Courier New"/>
      <w:b/>
      <w:noProof w:val="0"/>
      <w:sz w:val="20"/>
      <w:szCs w:val="20"/>
    </w:rPr>
  </w:style>
  <w:style w:type="paragraph" w:styleId="Zkladntext">
    <w:name w:val="Body Text"/>
    <w:basedOn w:val="Normln"/>
    <w:link w:val="ZkladntextChar"/>
    <w:uiPriority w:val="99"/>
    <w:semiHidden/>
    <w:unhideWhenUsed/>
    <w:rsid w:val="00CB535F"/>
    <w:pPr>
      <w:suppressAutoHyphens/>
      <w:spacing w:after="120"/>
    </w:pPr>
    <w:rPr>
      <w:noProof w:val="0"/>
      <w:sz w:val="20"/>
      <w:szCs w:val="20"/>
      <w:lang w:eastAsia="ar-SA"/>
    </w:rPr>
  </w:style>
  <w:style w:type="character" w:customStyle="1" w:styleId="ZkladntextChar">
    <w:name w:val="Základní text Char"/>
    <w:basedOn w:val="Standardnpsmoodstavce"/>
    <w:link w:val="Zkladntext"/>
    <w:uiPriority w:val="99"/>
    <w:semiHidden/>
    <w:rsid w:val="00CB535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7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plob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F6BB9-2CAF-441F-B19E-F7384871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2387</Words>
  <Characters>14233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Liščák Milan</cp:lastModifiedBy>
  <cp:revision>4</cp:revision>
  <cp:lastPrinted>2021-12-09T09:05:00Z</cp:lastPrinted>
  <dcterms:created xsi:type="dcterms:W3CDTF">2021-12-13T15:52:00Z</dcterms:created>
  <dcterms:modified xsi:type="dcterms:W3CDTF">2021-12-13T15:55:00Z</dcterms:modified>
</cp:coreProperties>
</file>