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 Odersko,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tř. Osvobození 930/25, 74235 Odry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Dobešov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14 373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3 593,08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Heřmanice u Oder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5 961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Kamenka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15 559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3 189,77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Odry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80 353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14 221,18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60000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37 694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6 671,23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132 833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3 156,32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310 318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55 974,30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Tošovice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1,0308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12 028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3 715,13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Veselí u Oder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72 444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7 716,06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21 852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2,1091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2,5744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127 590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15 607,27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Véska u Oder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17 489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16 464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2 340,32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1,0319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84 261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13 469,10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570 090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96 329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26N20/56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2612056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29.12.2020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96 329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15.12.2021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01.01.2021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