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31" w:h="216" w:wrap="none" w:hAnchor="page" w:x="898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2021008083</w:t>
      </w:r>
    </w:p>
    <w:p>
      <w:pPr>
        <w:widowControl w:val="0"/>
        <w:spacing w:after="215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53" w:right="1402" w:bottom="1101" w:left="1368" w:header="725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0" w:name="bookmark0"/>
      <w:r>
        <w:rPr>
          <w:rStyle w:val="CharStyle12"/>
          <w:b/>
          <w:bCs/>
        </w:rPr>
        <w:t>RÁMCOVÁ SMLOUVA O DÍLO</w:t>
      </w:r>
      <w:bookmarkEnd w:id="0"/>
      <w:r>
        <w:rPr>
          <w:rStyle w:val="CharStyle12"/>
          <w:b/>
          <w:bCs/>
          <w:u w:val="none"/>
        </w:rPr>
        <w:br/>
      </w:r>
      <w:r>
        <w:rPr>
          <w:rStyle w:val="CharStyle15"/>
          <w:b w:val="0"/>
          <w:bCs w:val="0"/>
        </w:rPr>
        <w:t>podle ustanovení § 2586 a násl. občanského zákoníku, uzavřená mezi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drawing>
          <wp:anchor distT="661670" distB="676910" distL="116840" distR="306070" simplePos="0" relativeHeight="125829378" behindDoc="0" locked="0" layoutInCell="1" allowOverlap="1">
            <wp:simplePos x="0" y="0"/>
            <wp:positionH relativeFrom="page">
              <wp:posOffset>2673350</wp:posOffset>
            </wp:positionH>
            <wp:positionV relativeFrom="paragraph">
              <wp:posOffset>674370</wp:posOffset>
            </wp:positionV>
            <wp:extent cx="3108960" cy="32893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3108960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12700</wp:posOffset>
                </wp:positionV>
                <wp:extent cx="3328670" cy="65849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28670" cy="658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>Zdravotnická záchranná služba Jihomoravského kraje, příspěvková organizace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Kamenice 798/1 d, 625 00 Brno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MUDr. Hana Albrechtová,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09.30000000000001pt;margin-top:1.pt;width:262.10000000000002pt;height:51.8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Zdravotnická záchranná služba Jihomoravského kraje, příspěvková organizace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Kamenice 798/1 d, 625 00 Brno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MUDr. Hana Albrechtová,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2661285</wp:posOffset>
                </wp:positionH>
                <wp:positionV relativeFrom="paragraph">
                  <wp:posOffset>1016000</wp:posOffset>
                </wp:positionV>
                <wp:extent cx="2099945" cy="66167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9945" cy="661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00346292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CZ00346292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Krajský soud v Brně, sp. zn. Pr 1245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MONETA Money Bank, a.s., č. ú. 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9.55000000000001pt;margin-top:80.pt;width:165.34999999999999pt;height:52.1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00346292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CZ00346292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Krajský soud v Brně, sp. zn. Pr 1245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MONETA Money Bank, a.s., č. ú. 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17"/>
        </w:rPr>
        <w:t>Jméno: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Style w:val="CharStyle17"/>
        </w:rPr>
        <w:t>Sídlo: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17"/>
        </w:rPr>
        <w:t>Jednající: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7"/>
        </w:rPr>
        <w:t>Kontaktní osoba: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Style w:val="CharStyle17"/>
        </w:rPr>
        <w:t>IČO: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Style w:val="CharStyle17"/>
        </w:rPr>
        <w:t>DIČ: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17"/>
        </w:rPr>
        <w:t>Zápis v OR: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7"/>
        </w:rPr>
        <w:t xml:space="preserve">Bankovní spojení (číslo účtu): </w:t>
      </w:r>
      <w:r>
        <w:rPr>
          <w:rStyle w:val="CharStyle17"/>
        </w:rPr>
        <w:t xml:space="preserve">(dále jen </w:t>
      </w:r>
      <w:r>
        <w:rPr>
          <w:rStyle w:val="CharStyle17"/>
          <w:b/>
          <w:bCs/>
          <w:i/>
          <w:iCs/>
        </w:rPr>
        <w:t>„objednatel“)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</w:rPr>
        <w:t>a</w:t>
      </w:r>
    </w:p>
    <w:tbl>
      <w:tblPr>
        <w:tblOverlap w:val="never"/>
        <w:jc w:val="left"/>
        <w:tblLayout w:type="fixed"/>
      </w:tblPr>
      <w:tblGrid>
        <w:gridCol w:w="2736"/>
        <w:gridCol w:w="4795"/>
      </w:tblGrid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b/>
                <w:bCs/>
              </w:rPr>
              <w:t>Revize-ez s.r.o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23"/>
                <w:sz w:val="22"/>
                <w:szCs w:val="22"/>
              </w:rPr>
              <w:t>Lovecká 2096/34, 466 01 Jablonec nad Nisou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Petr Strnad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257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Kontaktní osoba:</w:t>
              <w:tab/>
              <w:t>|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IČO: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DIČ: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02092603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CZ02092603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23"/>
                <w:sz w:val="22"/>
                <w:szCs w:val="22"/>
              </w:rPr>
              <w:t>Krajský soud v Ústí nad Labem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</w:rPr>
        <w:t xml:space="preserve">(dále jen </w:t>
      </w:r>
      <w:r>
        <w:rPr>
          <w:rStyle w:val="CharStyle20"/>
          <w:b/>
          <w:bCs/>
          <w:i/>
          <w:iCs/>
        </w:rPr>
        <w:t>„zhotovitel')</w:t>
      </w:r>
    </w:p>
    <w:p>
      <w:pPr>
        <w:widowControl w:val="0"/>
        <w:spacing w:after="659" w:line="1" w:lineRule="exact"/>
      </w:pP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17"/>
        </w:rPr>
        <w:t>Zhotovitel se zavazuje provést pro objednatele dílo, spočívající v provádění revizí a kontrol elektrických spotřebičů objednatele, a to způsobem a v rozsahu dle ČSN 33 1600 ed. 2.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17"/>
        </w:rPr>
        <w:t>Zhotovitel se zavazuje provést dílo podle čl. 1 této smlouvy v případě každého jednotlivého elektrického spotřebiče objednatele poprvé nejpozději do 31. 01. 2022, a následně vždy nejpozději do konce příslušné lhůty, stanovené ktomu v ČSN 331600. Místem plnění závazku zhotovitele k provedení díla podle čl. 1 této smlouvy jsou pracoviště objednatele na území Jihomoravského kraje, a to dle výběru objednatele.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17"/>
        </w:rPr>
        <w:t>Při provádění díla je zhotovitel povinen postupovat podle této smlouvy, ČSN 33 1600 ed 2, příslušných právních předpisů a průběžných pokynů objednatele, a s náležitou odbornou péčí.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7"/>
        </w:rPr>
        <w:t>Závazek zhotovitele k provedení díla podle čl. 1 této smlouvy se přitom považuje v každém jednotlivém případě za splněný po dokončení díla jeho předáním do rukou objednatele formou písemného předávacího protokolu, podepsaného oběma stranami, s přílohami ve formě příslušných revizních protokolů, a to jak v písemné, tak i elektronické formě.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17"/>
        </w:rPr>
        <w:t>Pro případ prodlení s provedením díla ve lhůtě podle čl. 2 této smlouvy se zhotovitel zavazuje zaplatit objednateli smluvní pokutu ve výši 0,1 % z ceny díla podle čl. 6 této smlouvy za každý započatý den tohoto prodlení.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80" w:line="290" w:lineRule="auto"/>
        <w:ind w:left="0" w:right="0" w:firstLine="0"/>
        <w:jc w:val="both"/>
      </w:pPr>
      <w:r>
        <w:rPr>
          <w:rStyle w:val="CharStyle17"/>
        </w:rPr>
        <w:t>Objednatel se zavazuje zaplatit zhotoviteli za dílo podle čl. 1 této smlouvy cenu díla ve výši: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90" w:lineRule="auto"/>
        <w:ind w:left="0" w:right="0" w:firstLine="840"/>
        <w:jc w:val="both"/>
      </w:pPr>
      <w:r>
        <w:rPr>
          <w:rStyle w:val="CharStyle17"/>
          <w:b/>
          <w:bCs/>
        </w:rPr>
        <w:t xml:space="preserve">36 </w:t>
      </w:r>
      <w:r>
        <w:rPr>
          <w:rStyle w:val="CharStyle17"/>
        </w:rPr>
        <w:t xml:space="preserve">Kč bez DPH, tj. </w:t>
      </w:r>
      <w:r>
        <w:rPr>
          <w:rStyle w:val="CharStyle17"/>
          <w:b/>
          <w:bCs/>
        </w:rPr>
        <w:t xml:space="preserve">43,56 Kč </w:t>
      </w:r>
      <w:r>
        <w:rPr>
          <w:rStyle w:val="CharStyle17"/>
        </w:rPr>
        <w:t>včetně DPH za každou provedenou revizi dle této smlouvy.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0"/>
        <w:ind w:left="0" w:right="0" w:firstLine="0"/>
        <w:jc w:val="both"/>
      </w:pPr>
      <w:r>
        <w:rPr>
          <w:rStyle w:val="CharStyle17"/>
        </w:rPr>
        <w:t>Součástí ceny díla podle čl. 6 této smlouvy je i náhrada veškerých nákladů, které zhotovitel vynaloží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20"/>
        <w:ind w:left="420" w:right="0" w:firstLine="0"/>
        <w:jc w:val="both"/>
      </w:pPr>
      <w:r>
        <w:rPr>
          <w:rStyle w:val="CharStyle17"/>
        </w:rPr>
        <w:t>na splnění svého závazku podle čl. 1 této smlouvy, nebo v souvislosti s ním v místě plnění jeho závazku, a daň z přidané hodnoty ve výši podle zákona.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220" w:line="288" w:lineRule="auto"/>
        <w:ind w:left="0" w:right="0" w:firstLine="0"/>
        <w:jc w:val="both"/>
      </w:pPr>
      <w:r>
        <w:rPr>
          <w:rStyle w:val="CharStyle17"/>
        </w:rPr>
        <w:t xml:space="preserve">Cena díla podle čl. 6 této smlouvy je splatná po splnění závazku k provedení každé jednotlivé revize způsobem podle čl. 4 této smlouvy ve lhůtě do 30-ti dnů od předložení jejího písemného vyúčtování (daňového dokladu/faktury). Faktura bude doručena elektronicky na e-mail Na faktuře musí být mimo jiné vždy uvedeno toto číslo veřejné zakázky, ke které se faktura vztahuje: </w:t>
      </w:r>
      <w:r>
        <w:rPr>
          <w:rStyle w:val="CharStyle17"/>
          <w:b/>
          <w:bCs/>
        </w:rPr>
        <w:t xml:space="preserve">P21V00002789. </w:t>
      </w:r>
      <w:r>
        <w:rPr>
          <w:rStyle w:val="CharStyle17"/>
        </w:rPr>
        <w:t>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220" w:line="290" w:lineRule="auto"/>
        <w:ind w:left="420" w:right="0" w:hanging="420"/>
        <w:jc w:val="both"/>
      </w:pPr>
      <w:r>
        <w:rPr>
          <w:rStyle w:val="CharStyle17"/>
        </w:rPr>
        <w:t>Pro případ prodlení s úhradou ceny díla podle čl. 6 této smlouvy ve lhůtě podle čl. 8 této smlouvy se objednatel zavazuje zaplatit zhotoviteli úrok z prodlení ve výši dle zákona.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220" w:line="288" w:lineRule="auto"/>
        <w:ind w:left="420" w:right="0" w:hanging="420"/>
        <w:jc w:val="both"/>
      </w:pPr>
      <w:r>
        <w:rPr>
          <w:rStyle w:val="CharStyle17"/>
        </w:rPr>
        <w:t>Objednatel se zavazuje poskytnout zhotoviteli součinnost, potřebnou k řádnému splnění jeho závazku podle čl. 1 této smlouvy, zejména mu umožňovat včasným zpřístupněním předmětu revize plnění jeho závazku podle této smlouvy v dohodnutých lhůtách.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220" w:line="290" w:lineRule="auto"/>
        <w:ind w:left="420" w:right="0" w:hanging="420"/>
        <w:jc w:val="both"/>
      </w:pPr>
      <w:r>
        <w:rPr>
          <w:rStyle w:val="CharStyle17"/>
        </w:rPr>
        <w:t>Zhotovitel odpovídá objednateli za to, že dílo podle čl. 1 této smlouvy bude odpovídat příslušným právním předpisů, hygienickým a technickým normám, a že bude mít ty vlastnosti, které jsou dohodnuty nebo které jsou u děl tohoto druhu obvyklé. V tomto smyslu se zhotovitel zavazuje bezplatně odstraňovat vady, které se na díle podle této smlouvy vyskytnou, a to po celou dobu, po kterou to bude mít pro objednatele ekonomický či jiný význam.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220" w:line="290" w:lineRule="auto"/>
        <w:ind w:left="420" w:right="0" w:hanging="420"/>
        <w:jc w:val="both"/>
      </w:pPr>
      <w:r>
        <w:rPr>
          <w:rStyle w:val="CharStyle17"/>
        </w:rPr>
        <w:t>Zhotovitel se zavazuje rozhodovat o písemných reklamacích objednatele v období po dokončení díla a odstraňovat reklamované vady nejpozdéji do 48 hodin od doručení reklamace, nebude-li mezi oběma stranami v jednotlivém případě dohodnuto jinak.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220" w:line="298" w:lineRule="auto"/>
        <w:ind w:left="420" w:right="0" w:hanging="420"/>
        <w:jc w:val="both"/>
      </w:pPr>
      <w:r>
        <w:rPr>
          <w:rStyle w:val="CharStyle17"/>
        </w:rPr>
        <w:t>Neodstraní-li zhotovitel reklamovanou vadu ve lhůtě podle čl. 12 této smlouvy, a to ani po písemné výzvě objednatele, je objednatel oprávněn nechat provést toto odstranění třetí osobou na náklad zhotovitele.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220"/>
        <w:ind w:left="420" w:right="0" w:hanging="420"/>
        <w:jc w:val="both"/>
      </w:pPr>
      <w:r>
        <w:rPr>
          <w:rStyle w:val="CharStyle17"/>
        </w:rPr>
        <w:t>Objednatel je oprávněn odstoupit od této smlouvy, bude-li zhotovitel v prodlení s plněním svého závazku podle této smlouvy o víc, než 1 týden.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220" w:line="290" w:lineRule="auto"/>
        <w:ind w:left="420" w:right="0" w:hanging="420"/>
        <w:jc w:val="both"/>
      </w:pPr>
      <w:r>
        <w:rPr>
          <w:rStyle w:val="CharStyle17"/>
        </w:rPr>
        <w:t>Není-li touto smlouvou ujednáno jinak, řídí se vzájemný právní vztah mezi objednatelem a zhotovitelem v této věci ust. § 2586 až 2635 občanského zákoníku.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220" w:line="290" w:lineRule="auto"/>
        <w:ind w:left="420" w:right="0" w:hanging="420"/>
        <w:jc w:val="both"/>
      </w:pPr>
      <w:r>
        <w:rPr>
          <w:rStyle w:val="CharStyle17"/>
        </w:rPr>
        <w:t xml:space="preserve">Smlouva nabývá platnosti dnem podpisu poslední smluvní stranou a účinnosti dnem jejího uveřejnění v Registru smluv ve smyslu ust. § 6 odst. 1 zákona č. 340/2015 Sb., o registru smluv, nejdříve však </w:t>
      </w:r>
      <w:r>
        <w:rPr>
          <w:rStyle w:val="CharStyle17"/>
          <w:b/>
          <w:bCs/>
        </w:rPr>
        <w:t>01. 01. 2022.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220" w:line="290" w:lineRule="auto"/>
        <w:ind w:left="0" w:right="0" w:firstLine="0"/>
        <w:jc w:val="both"/>
      </w:pPr>
      <w:r>
        <w:rPr>
          <w:rStyle w:val="CharStyle17"/>
        </w:rPr>
        <w:t xml:space="preserve">Tato smlouva se uzavírá na dobu určitou, a to do </w:t>
      </w:r>
      <w:r>
        <w:rPr>
          <w:rStyle w:val="CharStyle17"/>
          <w:b/>
          <w:bCs/>
        </w:rPr>
        <w:t>31.12. 2025.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220"/>
        <w:ind w:left="420" w:right="0" w:hanging="420"/>
        <w:jc w:val="both"/>
      </w:pPr>
      <w:r>
        <w:rPr>
          <w:rStyle w:val="CharStyle17"/>
        </w:rPr>
        <w:t>Tuto smlouvu lze změnit nebo zrušit pouze jinou písemnou dohodu obou smluvních stran. Tuto smlouvu lze také vypovědět písemnou výpovědí s jednoměsíční výpovědní lhůtou, která počne běžet prvním dnem měsíce následujícího po doručení výpovědi druhé smluvní straně.</w:t>
      </w:r>
      <w:r>
        <w:br w:type="page"/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20" w:line="288" w:lineRule="auto"/>
        <w:ind w:left="400" w:right="0" w:hanging="400"/>
        <w:jc w:val="both"/>
      </w:pPr>
      <w:r>
        <w:rPr>
          <w:rStyle w:val="CharStyle17"/>
        </w:rPr>
        <w:t>Tato smlouva se uzavírá na základě návrhu na její uzavření ze strany objednatele. Předpokladem uzavření této smlouvy je její písemná forma a dohoda o celém jejím obsahu jak je obsažen v jejích článcích 1 až 21. Objednatel přitom předem vylučuje přijetí tohoto návrhu s dodatkem nebo odchylkou ve smyslu § 1740 odst. 3 občanského zákoníku.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 w:line="276" w:lineRule="auto"/>
        <w:ind w:left="400" w:right="0" w:hanging="400"/>
        <w:jc w:val="both"/>
      </w:pPr>
      <w:r>
        <w:rPr>
          <w:rStyle w:val="CharStyle17"/>
        </w:rPr>
        <w:t>Dáno ve dvou originálních písemných vyhotoveních, z nichž každá ze smluvních stran obdrží po jednom.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 w:line="288" w:lineRule="auto"/>
        <w:ind w:left="400" w:right="0" w:hanging="400"/>
        <w:jc w:val="both"/>
      </w:pPr>
      <w:r>
        <w:rPr>
          <w:rStyle w:val="CharStyle17"/>
        </w:rPr>
        <w:t>Zhotovitel uděluje objednateli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41" w:right="1384" w:bottom="1563" w:left="1386" w:header="1013" w:footer="3" w:gutter="0"/>
          <w:cols w:space="720"/>
          <w:noEndnote/>
          <w:rtlGutter w:val="0"/>
          <w:docGrid w:linePitch="360"/>
        </w:sectPr>
      </w:pPr>
      <w:r>
        <w:drawing>
          <wp:anchor distT="876935" distB="298450" distL="24130" distR="0" simplePos="0" relativeHeight="125829379" behindDoc="0" locked="0" layoutInCell="1" allowOverlap="1">
            <wp:simplePos x="0" y="0"/>
            <wp:positionH relativeFrom="page">
              <wp:posOffset>981710</wp:posOffset>
            </wp:positionH>
            <wp:positionV relativeFrom="paragraph">
              <wp:posOffset>876935</wp:posOffset>
            </wp:positionV>
            <wp:extent cx="1786255" cy="57912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786255" cy="5791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1447165</wp:posOffset>
                </wp:positionV>
                <wp:extent cx="1429385" cy="30797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9385" cy="307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5.400000000000006pt;margin-top:113.95pt;width:112.55pt;height:24.2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MUDr. Hana Albrechtová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584200" distB="292735" distL="33655" distR="106680" simplePos="0" relativeHeight="125829380" behindDoc="0" locked="0" layoutInCell="1" allowOverlap="1">
            <wp:simplePos x="0" y="0"/>
            <wp:positionH relativeFrom="page">
              <wp:posOffset>4337685</wp:posOffset>
            </wp:positionH>
            <wp:positionV relativeFrom="paragraph">
              <wp:posOffset>584200</wp:posOffset>
            </wp:positionV>
            <wp:extent cx="1987550" cy="87757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987550" cy="8775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4304030</wp:posOffset>
                </wp:positionH>
                <wp:positionV relativeFrom="paragraph">
                  <wp:posOffset>431800</wp:posOffset>
                </wp:positionV>
                <wp:extent cx="2124710" cy="14922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2471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V Jablonci nad Nisou dne 9. 12. 2021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8.90000000000003pt;margin-top:34.pt;width:167.30000000000001pt;height:11.7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V Jablonci nad Nisou dne 9. 12.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4310380</wp:posOffset>
                </wp:positionH>
                <wp:positionV relativeFrom="paragraph">
                  <wp:posOffset>1446530</wp:posOffset>
                </wp:positionV>
                <wp:extent cx="1151890" cy="28956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1890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Revize-ez s.Ť.o.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Petr Strnad 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9.40000000000003pt;margin-top:113.90000000000001pt;width:90.700000000000003pt;height:22.800000000000001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Revize-ez s.Ť.o.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Petr Strnad 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84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74" w:right="0" w:bottom="831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16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4310380</wp:posOffset>
                </wp:positionH>
                <wp:positionV relativeFrom="paragraph">
                  <wp:posOffset>25400</wp:posOffset>
                </wp:positionV>
                <wp:extent cx="1151890" cy="133985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189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7"/>
                                <w:b/>
                                <w:bCs/>
                                <w:i/>
                                <w:iCs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39.40000000000003pt;margin-top:2.pt;width:90.700000000000003pt;height:10.55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  <w:b/>
                          <w:bCs/>
                          <w:i/>
                          <w:iCs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7"/>
          <w:b/>
          <w:bCs/>
          <w:i/>
          <w:iCs/>
        </w:rPr>
        <w:t>Objednatel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20" w:right="0" w:firstLine="0"/>
        <w:jc w:val="left"/>
        <w:rPr>
          <w:sz w:val="18"/>
          <w:szCs w:val="18"/>
        </w:rPr>
      </w:pPr>
      <w:r>
        <w:rPr>
          <w:rStyle w:val="CharStyle17"/>
          <w:color w:val="96CBE4"/>
          <w:sz w:val="18"/>
          <w:szCs w:val="18"/>
        </w:rPr>
        <w:t>Jihomoravského kraje, p.o.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1480" w:right="0" w:firstLine="0"/>
        <w:jc w:val="left"/>
        <w:rPr>
          <w:sz w:val="18"/>
          <w:szCs w:val="18"/>
        </w:rPr>
      </w:pPr>
      <w:r>
        <w:rPr>
          <w:rStyle w:val="CharStyle17"/>
          <w:color w:val="96CBE4"/>
          <w:sz w:val="18"/>
          <w:szCs w:val="18"/>
        </w:rPr>
        <w:t>Kamenice 798/1 d, 625 00 Brno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17"/>
          <w:color w:val="96CBE4"/>
          <w:sz w:val="18"/>
          <w:szCs w:val="18"/>
        </w:rPr>
        <w:t>21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rStyle w:val="CharStyle17"/>
        </w:rPr>
        <w:t>Příloha č. 1.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480" w:line="252" w:lineRule="auto"/>
        <w:ind w:left="0" w:right="0" w:firstLine="0"/>
        <w:jc w:val="center"/>
      </w:pPr>
      <w:bookmarkStart w:id="2" w:name="bookmark2"/>
      <w:r>
        <w:rPr>
          <w:rStyle w:val="CharStyle12"/>
          <w:b/>
          <w:bCs/>
          <w:u w:val="none"/>
        </w:rPr>
        <w:t>SPECIFIKACE</w:t>
      </w:r>
      <w:bookmarkEnd w:id="2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rStyle w:val="CharStyle17"/>
        </w:rPr>
        <w:t>Revize bude provedena výhradně v souladu s ČSN 33 1600 ed. 2. Zhotovitel je povinen předat zadavateli protokol jak v písemné tak elektronické podobě. Zhotovitel je povinen označit spotřebič pořadovým číslem a štítkem s uvedením data následné revize (minimálně ve tvaru MM/RRRR).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74" w:right="1418" w:bottom="8311" w:left="1382" w:header="1046" w:footer="3" w:gutter="0"/>
          <w:cols w:space="720"/>
          <w:noEndnote/>
          <w:rtlGutter w:val="0"/>
          <w:docGrid w:linePitch="360"/>
        </w:sectPr>
      </w:pPr>
      <w:r>
        <w:rPr>
          <w:rStyle w:val="CharStyle17"/>
        </w:rPr>
        <w:t>Předmětem VZ je revize elektrických spotřebičů na pracovištích výjezdových základen zadavatele uvedených v příloze č. 2. Revize bude probíhat dle pokynů kontaktní osoby, která technika bude úkolovat ve smyslu zahájení revize na každém územním oddělení zvlášť. Jedná se zejména o elektrické spotřebiče typické pro domácnost a dále o výpočetní techniku.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Style w:val="CharStyle17"/>
        </w:rPr>
        <w:t>Příloha č. 2.</w:t>
      </w:r>
    </w:p>
    <w:tbl>
      <w:tblPr>
        <w:tblOverlap w:val="never"/>
        <w:jc w:val="center"/>
        <w:tblLayout w:type="fixed"/>
      </w:tblPr>
      <w:tblGrid>
        <w:gridCol w:w="3806"/>
        <w:gridCol w:w="5702"/>
      </w:tblGrid>
      <w:tr>
        <w:trPr>
          <w:trHeight w:val="5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3"/>
                <w:b/>
                <w:bCs/>
              </w:rPr>
              <w:t xml:space="preserve">výjezdová </w:t>
            </w:r>
            <w:r>
              <w:rPr>
                <w:rStyle w:val="CharStyle23"/>
                <w:rFonts w:ascii="Times New Roman" w:eastAsia="Times New Roman" w:hAnsi="Times New Roman" w:cs="Times New Roman"/>
                <w:sz w:val="22"/>
                <w:szCs w:val="22"/>
              </w:rPr>
              <w:t>základna (adresa)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2163" w:val="left"/>
                <w:tab w:pos="4654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3"/>
                <w:b/>
                <w:bCs/>
              </w:rPr>
              <w:t>Kontaktní</w:t>
              <w:tab/>
              <w:t>_ . ,</w:t>
              <w:tab/>
              <w:t>..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2173" w:val="left"/>
                <w:tab w:pos="4174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3"/>
                <w:b/>
                <w:bCs/>
              </w:rPr>
              <w:t>pracovník</w:t>
              <w:tab/>
            </w:r>
            <w:r>
              <w:rPr>
                <w:rStyle w:val="CharStyle23"/>
                <w:b/>
                <w:bCs/>
                <w:vertAlign w:val="superscript"/>
              </w:rPr>
              <w:t>Tele,on</w:t>
              <w:tab/>
              <w:t>Ema</w:t>
            </w:r>
            <w:r>
              <w:rPr>
                <w:rStyle w:val="CharStyle23"/>
                <w:b/>
                <w:bCs/>
              </w:rPr>
              <w:t>"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Brno-Bohunice, Kamenice 798/1 d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Brno-Bohunice, budova OV(od. vzdělávání), Kamenice 798/1d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Brno-Ponava, Dělostřelecká 19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Brno-Černovice, Těžební 1a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LZS, letiště Tuřany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Ivančice, Široká 16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Pohořelice, Vídeňská 699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Tišnov, Purkyňova 1884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Břeclav, U nemocnice 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Hustopeče, Brněnská 41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Mikulov, Svobody 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Znojmo, Pražská 3872/59a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Hrušovany nad Jevišovkou, Mlýnská 541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Šumná 180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Blansko, nemocnice, K.H Máchy 17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Boskovice, nemocnice, O. Kubína 179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Velké Opatovice, nám. Míru 538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Horní Lhota 89 - ubytovna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Hodonín, Bratří Čapků 3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Kyjov, Strážovská 976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Veselí nad Moravou, U Polikliniky 1289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Velká nad Veličkou 461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52" w:lineRule="auto"/>
        <w:ind w:left="0" w:right="0" w:firstLine="0"/>
        <w:jc w:val="left"/>
      </w:pPr>
      <w:r>
        <w:rPr>
          <w:rStyle w:val="CharStyle17"/>
        </w:rPr>
        <w:t>Vyškov, areál nemocnice, Purkyňova 36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52" w:lineRule="auto"/>
        <w:ind w:left="0" w:right="0" w:firstLine="0"/>
        <w:jc w:val="left"/>
      </w:pPr>
      <w:r>
        <w:rPr>
          <w:rStyle w:val="CharStyle17"/>
        </w:rPr>
        <w:t>Slavkov, poliklinika Malinovského nám. 551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left"/>
      </w:pPr>
      <w:r>
        <w:rPr>
          <w:rStyle w:val="CharStyle17"/>
        </w:rPr>
        <w:t>Bučovice, poliklinika Sovětská 912</w:t>
      </w:r>
    </w:p>
    <w:sectPr>
      <w:footnotePr>
        <w:pos w:val="pageBottom"/>
        <w:numFmt w:val="decimal"/>
        <w:numRestart w:val="continuous"/>
      </w:footnotePr>
      <w:pgSz w:w="11900" w:h="16840"/>
      <w:pgMar w:top="1422" w:right="1546" w:bottom="1422" w:left="1253" w:header="99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9937115</wp:posOffset>
              </wp:positionV>
              <wp:extent cx="573913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391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I/Z </w:t>
                          </w: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45-21 Revize a kontroly elektrických spotřebičů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 z</w:t>
                          </w: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950000000000003pt;margin-top:782.45000000000005pt;width:451.90000000000003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 xml:space="preserve">I/Z </w:t>
                    </w: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45-21 Revize a kontroly elektrických spotřebičů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i/>
                          <w:iCs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 xml:space="preserve"> z</w:t>
                    </w: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Titulek obrázku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Nadpis #1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5">
    <w:name w:val="Základní text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Základní text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Titulek tabulky_"/>
    <w:basedOn w:val="DefaultParagraphFont"/>
    <w:link w:val="Style19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3">
    <w:name w:val="Jiné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Titulek obrázku"/>
    <w:basedOn w:val="Normal"/>
    <w:link w:val="CharStyle9"/>
    <w:pPr>
      <w:widowControl w:val="0"/>
      <w:shd w:val="clear" w:color="auto" w:fill="auto"/>
      <w:spacing w:line="24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auto"/>
      <w:spacing w:after="390" w:line="245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auto"/>
      <w:spacing w:after="4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Základní text"/>
    <w:basedOn w:val="Normal"/>
    <w:link w:val="CharStyle17"/>
    <w:pPr>
      <w:widowControl w:val="0"/>
      <w:shd w:val="clear" w:color="auto" w:fill="auto"/>
      <w:spacing w:after="200"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9">
    <w:name w:val="Titulek tabulky"/>
    <w:basedOn w:val="Normal"/>
    <w:link w:val="CharStyle20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auto"/>
      <w:spacing w:after="200"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