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C0" w:rsidRDefault="00DD0113">
      <w:pPr>
        <w:pStyle w:val="Nadpis10"/>
        <w:keepNext/>
        <w:keepLines/>
      </w:pPr>
      <w:bookmarkStart w:id="0" w:name="bookmark0"/>
      <w:r>
        <w:t>DAROVACÍ SMLOUVA</w:t>
      </w:r>
      <w:bookmarkEnd w:id="0"/>
    </w:p>
    <w:p w:rsidR="000C66C0" w:rsidRDefault="00DD0113">
      <w:pPr>
        <w:pStyle w:val="Zkladntext1"/>
        <w:spacing w:line="228" w:lineRule="auto"/>
        <w:jc w:val="center"/>
      </w:pPr>
      <w:r>
        <w:t>uzavřená dle ustanovení občanského zákoníku ve znění pozdějších předpisů</w:t>
      </w:r>
    </w:p>
    <w:p w:rsidR="000C66C0" w:rsidRDefault="00DD0113">
      <w:pPr>
        <w:pStyle w:val="Zkladntext1"/>
      </w:pPr>
      <w:r>
        <w:t>mezi dárcem:</w:t>
      </w:r>
    </w:p>
    <w:p w:rsidR="000C66C0" w:rsidRDefault="00DD0113">
      <w:pPr>
        <w:pStyle w:val="Zkladntext1"/>
        <w:jc w:val="both"/>
      </w:pPr>
      <w:r>
        <w:rPr>
          <w:b/>
          <w:bCs/>
        </w:rPr>
        <w:t xml:space="preserve">HSBC Continental </w:t>
      </w:r>
      <w:proofErr w:type="spellStart"/>
      <w:r>
        <w:rPr>
          <w:b/>
          <w:bCs/>
        </w:rPr>
        <w:t>Europe</w:t>
      </w:r>
      <w:proofErr w:type="spellEnd"/>
      <w:r>
        <w:t xml:space="preserve">, společností zřízenou podle francouzského práva jako </w:t>
      </w:r>
      <w:proofErr w:type="spellStart"/>
      <w:r>
        <w:t>société</w:t>
      </w:r>
      <w:proofErr w:type="spellEnd"/>
      <w:r>
        <w:t xml:space="preserve"> anonyme (registrovanou pod č. 775 670 284 RCS Paris), se sídlem 38, avenue </w:t>
      </w:r>
      <w:proofErr w:type="spellStart"/>
      <w:r>
        <w:t>Kléber</w:t>
      </w:r>
      <w:proofErr w:type="spellEnd"/>
      <w:r>
        <w:t xml:space="preserve">, 75116 Paříž, Francie, jednající prostřednictvím své pobočky </w:t>
      </w:r>
      <w:r>
        <w:rPr>
          <w:b/>
          <w:bCs/>
        </w:rPr>
        <w:t xml:space="preserve">HSBC Continental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>, Czech Republic</w:t>
      </w:r>
      <w:r>
        <w:t xml:space="preserve">, se sídlem </w:t>
      </w:r>
      <w:r>
        <w:t>Na Florenci 2116/15, Nové Město, 110 00 Praha 1, Česká republika, IČ: 07482728, zapsané v obchodním rejstříku vedeném Městským soudem v Praze, oddíl A, vložka 78901, DIČ: CZ684602543</w:t>
      </w:r>
    </w:p>
    <w:p w:rsidR="000C66C0" w:rsidRDefault="00DD0113">
      <w:pPr>
        <w:pStyle w:val="Zkladntext1"/>
        <w:jc w:val="both"/>
      </w:pPr>
      <w:r>
        <w:t>(dále jen dárce)</w:t>
      </w:r>
    </w:p>
    <w:p w:rsidR="000C66C0" w:rsidRDefault="00DD0113">
      <w:pPr>
        <w:pStyle w:val="Zkladntext1"/>
        <w:jc w:val="both"/>
      </w:pPr>
      <w:r>
        <w:t>a obdarovaným:</w:t>
      </w:r>
    </w:p>
    <w:p w:rsidR="000C66C0" w:rsidRDefault="00DD0113">
      <w:pPr>
        <w:pStyle w:val="Nadpis20"/>
        <w:keepNext/>
        <w:keepLines/>
        <w:spacing w:after="0"/>
        <w:jc w:val="both"/>
      </w:pPr>
      <w:bookmarkStart w:id="1" w:name="bookmark2"/>
      <w:r>
        <w:t>Dětský domov a školní jídelna, příspěvkov</w:t>
      </w:r>
      <w:r>
        <w:t>á organizace</w:t>
      </w:r>
      <w:bookmarkEnd w:id="1"/>
    </w:p>
    <w:p w:rsidR="000C66C0" w:rsidRDefault="00345B1B">
      <w:pPr>
        <w:pStyle w:val="Zkladntext1"/>
        <w:spacing w:after="0"/>
        <w:jc w:val="both"/>
      </w:pPr>
      <w:r>
        <w:t>Dittrichova</w:t>
      </w:r>
      <w:r w:rsidR="00DD0113">
        <w:t xml:space="preserve"> 12</w:t>
      </w:r>
    </w:p>
    <w:p w:rsidR="000C66C0" w:rsidRDefault="00DD0113">
      <w:pPr>
        <w:pStyle w:val="Zkladntext1"/>
        <w:spacing w:after="0"/>
        <w:jc w:val="both"/>
      </w:pPr>
      <w:r>
        <w:t>407 46 Krásná Lípa</w:t>
      </w:r>
    </w:p>
    <w:p w:rsidR="000C66C0" w:rsidRDefault="00DD0113">
      <w:pPr>
        <w:pStyle w:val="Zkladntext1"/>
        <w:jc w:val="both"/>
      </w:pPr>
      <w:r>
        <w:t>ICO: 00412066</w:t>
      </w:r>
    </w:p>
    <w:p w:rsidR="000C66C0" w:rsidRDefault="00DD0113">
      <w:pPr>
        <w:pStyle w:val="Zkladntext1"/>
        <w:jc w:val="both"/>
      </w:pPr>
      <w:r>
        <w:t>(dále jen obdarovaný)</w:t>
      </w:r>
    </w:p>
    <w:p w:rsidR="000C66C0" w:rsidRDefault="00DD0113">
      <w:pPr>
        <w:pStyle w:val="Zkladntext1"/>
        <w:jc w:val="both"/>
      </w:pPr>
      <w:r>
        <w:rPr>
          <w:b/>
          <w:bCs/>
        </w:rPr>
        <w:t>Článek I.</w:t>
      </w:r>
    </w:p>
    <w:p w:rsidR="000C66C0" w:rsidRDefault="00DD0113">
      <w:pPr>
        <w:pStyle w:val="Zkladntext1"/>
        <w:jc w:val="both"/>
      </w:pPr>
      <w:r>
        <w:t>Dárce poskytuje obdarovanému finanční dar ve výši 85.000 Kč za účelem financování nákladů spojených s výkonem činnosti v oblastech, pro které byla příspěvková organi</w:t>
      </w:r>
      <w:r>
        <w:t>zace (obdarovaný) zřízena. Tento dar není dále nijak konkrétně účelově určen a v souladu s článkem XII. odst. 6 zřizovací listiny jej do svého vlastnictví nabývá příspěvková organizace.</w:t>
      </w:r>
    </w:p>
    <w:p w:rsidR="000C66C0" w:rsidRDefault="00DD0113">
      <w:pPr>
        <w:pStyle w:val="Nadpis20"/>
        <w:keepNext/>
        <w:keepLines/>
        <w:jc w:val="both"/>
      </w:pPr>
      <w:bookmarkStart w:id="2" w:name="bookmark4"/>
      <w:r>
        <w:t>Článek II.</w:t>
      </w:r>
      <w:bookmarkEnd w:id="2"/>
    </w:p>
    <w:p w:rsidR="000C66C0" w:rsidRDefault="00DD0113">
      <w:pPr>
        <w:pStyle w:val="Zkladntext1"/>
        <w:jc w:val="both"/>
      </w:pPr>
      <w:r>
        <w:t>Obdarovaný finanční dar přijímá a zavazuje se:</w:t>
      </w:r>
    </w:p>
    <w:p w:rsidR="000C66C0" w:rsidRDefault="00DD0113">
      <w:pPr>
        <w:pStyle w:val="Zkladntext1"/>
        <w:numPr>
          <w:ilvl w:val="0"/>
          <w:numId w:val="1"/>
        </w:numPr>
        <w:tabs>
          <w:tab w:val="left" w:pos="350"/>
        </w:tabs>
        <w:jc w:val="both"/>
      </w:pPr>
      <w:r>
        <w:t>Použít finan</w:t>
      </w:r>
      <w:r>
        <w:t>ční prostředky daru v souladu s článkem I.</w:t>
      </w:r>
    </w:p>
    <w:p w:rsidR="000C66C0" w:rsidRDefault="00DD0113">
      <w:pPr>
        <w:pStyle w:val="Zkladntext1"/>
        <w:numPr>
          <w:ilvl w:val="0"/>
          <w:numId w:val="1"/>
        </w:numPr>
        <w:tabs>
          <w:tab w:val="left" w:pos="350"/>
        </w:tabs>
        <w:ind w:left="380" w:hanging="380"/>
        <w:jc w:val="both"/>
      </w:pPr>
      <w:r>
        <w:t>Umožnit dárci nahlédnout do svého účetnictví a dalších případných podkladů tak, aby bylo možno ověřit využití finančního daru v souladu s touto smlouvou.</w:t>
      </w:r>
    </w:p>
    <w:p w:rsidR="000C66C0" w:rsidRDefault="00DD0113">
      <w:pPr>
        <w:pStyle w:val="Zkladntext1"/>
      </w:pPr>
      <w:r>
        <w:rPr>
          <w:b/>
          <w:bCs/>
        </w:rPr>
        <w:t>Článek III.</w:t>
      </w:r>
    </w:p>
    <w:p w:rsidR="000C66C0" w:rsidRDefault="00DD0113">
      <w:pPr>
        <w:pStyle w:val="Zkladntext1"/>
        <w:spacing w:after="440"/>
        <w:jc w:val="both"/>
      </w:pPr>
      <w:r>
        <w:t>Dárce obdarovanému finanční dar dle článku I té</w:t>
      </w:r>
      <w:r>
        <w:t xml:space="preserve">to smlouvy zašle bezhotovostním převodem na účet obdarovaného vedeného u </w:t>
      </w:r>
      <w:proofErr w:type="spellStart"/>
      <w:r w:rsidR="00345B1B">
        <w:t>xxxxxx</w:t>
      </w:r>
      <w:proofErr w:type="spellEnd"/>
      <w:r>
        <w:t xml:space="preserve"> číslo účtu: </w:t>
      </w:r>
      <w:proofErr w:type="spellStart"/>
      <w:r w:rsidR="00345B1B">
        <w:t>xxxxxxxxxxx</w:t>
      </w:r>
      <w:proofErr w:type="spellEnd"/>
      <w:r>
        <w:t xml:space="preserve"> a to do 30 dnů po podpisu smlouvy oběma smluvními stranami.</w:t>
      </w:r>
    </w:p>
    <w:p w:rsidR="000C66C0" w:rsidRDefault="00DD0113">
      <w:pPr>
        <w:pStyle w:val="Nadpis20"/>
        <w:keepNext/>
        <w:keepLines/>
      </w:pPr>
      <w:bookmarkStart w:id="3" w:name="bookmark6"/>
      <w:r>
        <w:t>Článek IV.</w:t>
      </w:r>
      <w:bookmarkEnd w:id="3"/>
    </w:p>
    <w:p w:rsidR="000C66C0" w:rsidRDefault="00DD0113">
      <w:pPr>
        <w:pStyle w:val="Zkladntext1"/>
      </w:pPr>
      <w:r>
        <w:t xml:space="preserve">Obdarovaný je povinen smlouvu zveřejnit v rejstříku smluv, pokud mu taková </w:t>
      </w:r>
      <w:r>
        <w:t>povinnost vyplývá ze závazných právních předpisů.</w:t>
      </w:r>
    </w:p>
    <w:p w:rsidR="000C66C0" w:rsidRDefault="00DD0113">
      <w:pPr>
        <w:pStyle w:val="Zkladntext1"/>
      </w:pPr>
      <w:r>
        <w:t>Pokud obdarovaný spadá mezi subjekty uvedené v § 2 odst. 1 zákona č. 340/2015 Sb., o zvláštních podmínkách účinnosti některých smluv, uveřejňování těchto smluv a o registru smluv (zákon o registru smluv), v</w:t>
      </w:r>
      <w:r>
        <w:t>e znění pozdějších předpisů (dále jen „Zákon o registru smluv“), případně ve smyslu jiného ustanovení, které toto ustanovení kdykoliv v budoucnu nahradí, a je osobou, jejíž smlouvy se povinně uveřejňují v registru smluv ve smyslu Zákona o registru smluv (d</w:t>
      </w:r>
      <w:r>
        <w:t>ále jen „Registr“), obdarovaný uzavírá tuto</w:t>
      </w:r>
      <w:r>
        <w:br w:type="page"/>
      </w:r>
      <w:r>
        <w:lastRenderedPageBreak/>
        <w:t>smlouvu nebo jakýkoliv její dodatek v souladu s požadavky Zákona o registru smluv nebo jiných příslušných zákonů, které stanovují požadavky na formu či způsob uzavření smlouvy ve vztahu k obdarovanému.</w:t>
      </w:r>
    </w:p>
    <w:p w:rsidR="000C66C0" w:rsidRDefault="00DD0113">
      <w:pPr>
        <w:pStyle w:val="Zkladntext1"/>
        <w:jc w:val="both"/>
      </w:pPr>
      <w:r>
        <w:t>Obdarovaný</w:t>
      </w:r>
      <w:r>
        <w:t xml:space="preserve"> se zavazuje uveřejnit tuto smlouvu včetně všech jejích součástí a jakýkoliv dodatků v Registru. Obdarovaný na sebe tímto přebírá odpovědnost, že tyto dokumenty v Registru uveřejní bez zbytečného odkladu po jejich uzavření, ne však později než do 2 Pracovn</w:t>
      </w:r>
      <w:r>
        <w:t>ích dnů. Obdarovaný předá okamžitě po uveřejnění těchto dokumentů v Registru dárci potvrzení o tom, že tak učinil, a to prostřednictvím výpisu z Registru či obdobným způsobem.</w:t>
      </w:r>
    </w:p>
    <w:p w:rsidR="000C66C0" w:rsidRDefault="00DD0113">
      <w:pPr>
        <w:pStyle w:val="Zkladntext1"/>
        <w:jc w:val="both"/>
      </w:pPr>
      <w:r>
        <w:t>Tímto není dotčeno právo dárce uveřejnit jakýkoliv z uvedených dokumentů v Regis</w:t>
      </w:r>
      <w:r>
        <w:t>tru, čímž však není dotčena smluvní odpovědnost obdarovaného za uveřejnění. Pokud obdarovaný nesplnil povinnost uveřejnit příslušné dokumenty, je odpovědný dárci za jakoukoliv škodu, která mu tímto vznikla, bez ohledu na ustanovení § 5 odst. 2 Zákona o reg</w:t>
      </w:r>
      <w:r>
        <w:t>istru smluv.</w:t>
      </w:r>
    </w:p>
    <w:p w:rsidR="000C66C0" w:rsidRDefault="00DD0113">
      <w:pPr>
        <w:pStyle w:val="Zkladntext1"/>
        <w:jc w:val="both"/>
      </w:pPr>
      <w:r>
        <w:t>Výše uvedené dokumenty obdarovaný uveřejní v Registru v rozsahu požadovaném Zákonem o registru smluv, ostatní údaje se obdarovaný zavazuje znečitelnit.</w:t>
      </w:r>
    </w:p>
    <w:p w:rsidR="000C66C0" w:rsidRDefault="00DD0113">
      <w:pPr>
        <w:pStyle w:val="Zkladntext1"/>
        <w:jc w:val="both"/>
      </w:pPr>
      <w:r>
        <w:t>Obdarovaný se zavazuje odškodnit dárce v případě, že nesplní jakoukoliv povinnost podle toh</w:t>
      </w:r>
      <w:r>
        <w:t>oto článku, a to v rozsahu veškerých nákladů, které dárci vzniknou.</w:t>
      </w:r>
    </w:p>
    <w:p w:rsidR="000C66C0" w:rsidRDefault="00DD0113">
      <w:pPr>
        <w:pStyle w:val="Nadpis20"/>
        <w:keepNext/>
        <w:keepLines/>
        <w:jc w:val="both"/>
      </w:pPr>
      <w:bookmarkStart w:id="4" w:name="bookmark8"/>
      <w:r>
        <w:t>Článek V.</w:t>
      </w:r>
      <w:bookmarkEnd w:id="4"/>
    </w:p>
    <w:p w:rsidR="000C66C0" w:rsidRDefault="00DD0113">
      <w:pPr>
        <w:pStyle w:val="Zkladntext1"/>
        <w:numPr>
          <w:ilvl w:val="0"/>
          <w:numId w:val="2"/>
        </w:numPr>
        <w:tabs>
          <w:tab w:val="left" w:pos="342"/>
        </w:tabs>
        <w:ind w:left="380" w:hanging="380"/>
      </w:pPr>
      <w:r>
        <w:t>Změna a doplňky této smlouvy lze provést pouze po dohodě smluvních stran ve formě písemných dodatků.</w:t>
      </w:r>
    </w:p>
    <w:p w:rsidR="000C66C0" w:rsidRDefault="00DD0113">
      <w:pPr>
        <w:pStyle w:val="Zkladntext1"/>
        <w:numPr>
          <w:ilvl w:val="0"/>
          <w:numId w:val="2"/>
        </w:numPr>
        <w:tabs>
          <w:tab w:val="left" w:pos="342"/>
        </w:tabs>
        <w:ind w:left="380" w:hanging="380"/>
      </w:pPr>
      <w:r>
        <w:t>Právní vztahy touto smlouvou výslovně neupravené se řídí dle příslušných usta</w:t>
      </w:r>
      <w:r>
        <w:t>novení občanského zákoníku.</w:t>
      </w:r>
    </w:p>
    <w:p w:rsidR="000C66C0" w:rsidRDefault="00DD0113">
      <w:pPr>
        <w:pStyle w:val="Zkladntext1"/>
        <w:numPr>
          <w:ilvl w:val="0"/>
          <w:numId w:val="2"/>
        </w:numPr>
        <w:tabs>
          <w:tab w:val="left" w:pos="341"/>
          <w:tab w:val="left" w:pos="342"/>
          <w:tab w:val="left" w:pos="4950"/>
        </w:tabs>
        <w:ind w:left="380" w:hanging="380"/>
      </w:pPr>
      <w:r>
        <w:t>Tato smlouva nabývá platnosti a účinnosti</w:t>
      </w:r>
      <w:r w:rsidR="00345B1B">
        <w:t xml:space="preserve"> </w:t>
      </w:r>
      <w:r>
        <w:t>dnem podpisu oběma smluvními stranami.</w:t>
      </w:r>
    </w:p>
    <w:p w:rsidR="000C66C0" w:rsidRDefault="00DD0113">
      <w:pPr>
        <w:pStyle w:val="Zkladntext1"/>
        <w:numPr>
          <w:ilvl w:val="0"/>
          <w:numId w:val="2"/>
        </w:numPr>
        <w:tabs>
          <w:tab w:val="left" w:pos="342"/>
          <w:tab w:val="left" w:pos="346"/>
        </w:tabs>
        <w:spacing w:after="0"/>
      </w:pPr>
      <w:proofErr w:type="gramStart"/>
      <w:r>
        <w:t>Tato</w:t>
      </w:r>
      <w:proofErr w:type="gramEnd"/>
      <w:r>
        <w:t xml:space="preserve"> smlouva je sepsána ve dvou vyhotoveních s platností originálu, z nichž každá smluvní </w:t>
      </w:r>
      <w:proofErr w:type="gramStart"/>
      <w:r>
        <w:t>strana</w:t>
      </w:r>
      <w:proofErr w:type="gramEnd"/>
    </w:p>
    <w:p w:rsidR="000C66C0" w:rsidRDefault="00DD0113">
      <w:pPr>
        <w:pStyle w:val="Zkladntext1"/>
        <w:spacing w:after="860"/>
        <w:ind w:firstLine="380"/>
        <w:jc w:val="both"/>
      </w:pPr>
      <w:r>
        <w:t>obdrží jedno vyhotovení.</w:t>
      </w:r>
    </w:p>
    <w:p w:rsidR="000C66C0" w:rsidRDefault="00DD0113">
      <w:pPr>
        <w:pStyle w:val="Zkladntext20"/>
        <w:tabs>
          <w:tab w:val="right" w:leader="dot" w:pos="1109"/>
          <w:tab w:val="left" w:pos="1273"/>
          <w:tab w:val="left" w:leader="dot" w:pos="2808"/>
        </w:tabs>
        <w:spacing w:after="600"/>
      </w:pPr>
      <w:r>
        <w:t xml:space="preserve">V </w:t>
      </w:r>
      <w:r>
        <w:tab/>
        <w:t>,</w:t>
      </w:r>
      <w:r>
        <w:tab/>
        <w:t xml:space="preserve">dne </w:t>
      </w:r>
      <w:r>
        <w:tab/>
      </w:r>
    </w:p>
    <w:p w:rsidR="000C66C0" w:rsidRPr="00345B1B" w:rsidRDefault="00DD0113">
      <w:pPr>
        <w:pStyle w:val="Zkladntext20"/>
        <w:spacing w:after="1420"/>
        <w:rPr>
          <w:b/>
        </w:rPr>
      </w:pPr>
      <w:r w:rsidRPr="00345B1B">
        <w:rPr>
          <w:b/>
        </w:rPr>
        <w:t>Dětský do</w:t>
      </w:r>
      <w:bookmarkStart w:id="5" w:name="_GoBack"/>
      <w:bookmarkEnd w:id="5"/>
      <w:r w:rsidRPr="00345B1B">
        <w:rPr>
          <w:b/>
        </w:rPr>
        <w:t>mov a</w:t>
      </w:r>
      <w:r w:rsidRPr="00345B1B">
        <w:rPr>
          <w:b/>
        </w:rPr>
        <w:t xml:space="preserve"> školní jídelna Krásná Lípa</w:t>
      </w:r>
    </w:p>
    <w:p w:rsidR="000C66C0" w:rsidRDefault="00DD0113">
      <w:pPr>
        <w:pStyle w:val="Zkladntext20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12700</wp:posOffset>
                </wp:positionV>
                <wp:extent cx="435610" cy="4025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6C0" w:rsidRDefault="00DD0113">
                            <w:pPr>
                              <w:pStyle w:val="Zkladntext20"/>
                              <w:spacing w:after="200"/>
                            </w:pPr>
                            <w:r>
                              <w:t>Jméno:</w:t>
                            </w:r>
                          </w:p>
                          <w:p w:rsidR="000C66C0" w:rsidRDefault="00DD0113">
                            <w:pPr>
                              <w:pStyle w:val="Zkladntext20"/>
                              <w:spacing w:after="0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6.69999999999999pt;margin-top:1.pt;width:34.300000000000004pt;height:3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Jméno:</w:t>
      </w:r>
    </w:p>
    <w:p w:rsidR="000C66C0" w:rsidRDefault="00DD0113">
      <w:pPr>
        <w:pStyle w:val="Zkladntext20"/>
        <w:spacing w:after="220"/>
      </w:pPr>
      <w:r>
        <w:t>Funkce:</w:t>
      </w:r>
      <w:r>
        <w:br w:type="page"/>
      </w:r>
    </w:p>
    <w:p w:rsidR="000C66C0" w:rsidRDefault="00DD0113">
      <w:pPr>
        <w:pStyle w:val="Zkladntext20"/>
        <w:tabs>
          <w:tab w:val="left" w:leader="dot" w:pos="2275"/>
        </w:tabs>
        <w:spacing w:after="400"/>
      </w:pPr>
      <w:r>
        <w:lastRenderedPageBreak/>
        <w:t xml:space="preserve">V Praze, dne </w:t>
      </w:r>
      <w:r>
        <w:tab/>
      </w:r>
    </w:p>
    <w:p w:rsidR="000C66C0" w:rsidRDefault="00DD0113">
      <w:pPr>
        <w:pStyle w:val="Zkladntext20"/>
        <w:spacing w:after="0"/>
      </w:pPr>
      <w:r>
        <w:rPr>
          <w:b/>
          <w:bCs/>
        </w:rPr>
        <w:t xml:space="preserve">HSBC Continental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 xml:space="preserve"> </w:t>
      </w:r>
      <w:r>
        <w:t>jednající prostřednictvím</w:t>
      </w:r>
    </w:p>
    <w:p w:rsidR="000C66C0" w:rsidRDefault="00DD0113">
      <w:pPr>
        <w:pStyle w:val="Zkladntext20"/>
        <w:spacing w:after="0"/>
        <w:sectPr w:rsidR="000C66C0">
          <w:footerReference w:type="default" r:id="rId7"/>
          <w:pgSz w:w="12240" w:h="15840"/>
          <w:pgMar w:top="1416" w:right="1411" w:bottom="1480" w:left="1406" w:header="98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HSBC </w:t>
      </w:r>
      <w:r>
        <w:rPr>
          <w:b/>
          <w:bCs/>
        </w:rPr>
        <w:t xml:space="preserve">Continental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>, Czech Republic</w:t>
      </w:r>
    </w:p>
    <w:p w:rsidR="000C66C0" w:rsidRDefault="000C66C0">
      <w:pPr>
        <w:spacing w:line="240" w:lineRule="exact"/>
        <w:rPr>
          <w:sz w:val="19"/>
          <w:szCs w:val="19"/>
        </w:rPr>
      </w:pPr>
    </w:p>
    <w:p w:rsidR="000C66C0" w:rsidRDefault="000C66C0">
      <w:pPr>
        <w:spacing w:line="240" w:lineRule="exact"/>
        <w:rPr>
          <w:sz w:val="19"/>
          <w:szCs w:val="19"/>
        </w:rPr>
      </w:pPr>
    </w:p>
    <w:p w:rsidR="000C66C0" w:rsidRDefault="000C66C0">
      <w:pPr>
        <w:spacing w:before="109" w:after="109" w:line="240" w:lineRule="exact"/>
        <w:rPr>
          <w:sz w:val="19"/>
          <w:szCs w:val="19"/>
        </w:rPr>
      </w:pPr>
    </w:p>
    <w:p w:rsidR="000C66C0" w:rsidRDefault="000C66C0">
      <w:pPr>
        <w:spacing w:line="1" w:lineRule="exact"/>
        <w:sectPr w:rsidR="000C66C0">
          <w:type w:val="continuous"/>
          <w:pgSz w:w="12240" w:h="15840"/>
          <w:pgMar w:top="1440" w:right="0" w:bottom="822" w:left="0" w:header="0" w:footer="3" w:gutter="0"/>
          <w:cols w:space="720"/>
          <w:noEndnote/>
          <w:docGrid w:linePitch="360"/>
        </w:sectPr>
      </w:pPr>
    </w:p>
    <w:p w:rsidR="000C66C0" w:rsidRDefault="00DD0113">
      <w:pPr>
        <w:pStyle w:val="Zkladntext20"/>
        <w:framePr w:w="634" w:h="226" w:wrap="none" w:vAnchor="text" w:hAnchor="page" w:x="1415" w:y="21"/>
        <w:spacing w:after="0"/>
      </w:pPr>
      <w:r>
        <w:t>Jméno:</w:t>
      </w:r>
    </w:p>
    <w:p w:rsidR="000C66C0" w:rsidRDefault="00DD0113">
      <w:pPr>
        <w:pStyle w:val="Zkladntext20"/>
        <w:framePr w:w="638" w:h="226" w:wrap="none" w:vAnchor="text" w:hAnchor="page" w:x="5735" w:y="21"/>
        <w:spacing w:after="0"/>
      </w:pPr>
      <w:r>
        <w:t>Jméno:</w:t>
      </w:r>
    </w:p>
    <w:p w:rsidR="000C66C0" w:rsidRDefault="00DD0113">
      <w:pPr>
        <w:pStyle w:val="Zkladntext20"/>
        <w:framePr w:w="677" w:h="226" w:wrap="none" w:vAnchor="text" w:hAnchor="page" w:x="1424" w:y="404"/>
        <w:spacing w:after="0"/>
      </w:pPr>
      <w:r>
        <w:t>Funkce:</w:t>
      </w:r>
    </w:p>
    <w:p w:rsidR="000C66C0" w:rsidRDefault="00DD0113">
      <w:pPr>
        <w:pStyle w:val="Zkladntext20"/>
        <w:framePr w:w="677" w:h="226" w:wrap="none" w:vAnchor="text" w:hAnchor="page" w:x="5744" w:y="404"/>
        <w:spacing w:after="0"/>
      </w:pPr>
      <w:r>
        <w:t>Funkce:</w:t>
      </w:r>
    </w:p>
    <w:p w:rsidR="000C66C0" w:rsidRDefault="000C66C0">
      <w:pPr>
        <w:spacing w:after="628" w:line="1" w:lineRule="exact"/>
      </w:pPr>
    </w:p>
    <w:p w:rsidR="000C66C0" w:rsidRDefault="000C66C0">
      <w:pPr>
        <w:spacing w:line="1" w:lineRule="exact"/>
      </w:pPr>
    </w:p>
    <w:sectPr w:rsidR="000C66C0">
      <w:type w:val="continuous"/>
      <w:pgSz w:w="12240" w:h="15840"/>
      <w:pgMar w:top="1440" w:right="1416" w:bottom="822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13" w:rsidRDefault="00DD0113">
      <w:r>
        <w:separator/>
      </w:r>
    </w:p>
  </w:endnote>
  <w:endnote w:type="continuationSeparator" w:id="0">
    <w:p w:rsidR="00DD0113" w:rsidRDefault="00D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C0" w:rsidRDefault="00DD0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9472930</wp:posOffset>
              </wp:positionV>
              <wp:extent cx="3139440" cy="3352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66C0" w:rsidRDefault="00DD011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E1.618673</w:t>
                          </w:r>
                        </w:p>
                        <w:p w:rsidR="000C66C0" w:rsidRDefault="00DD0113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PUBLIC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.200000000000003pt;margin-top:745.89999999999998pt;width:247.20000000000002pt;height:26.4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E1.618673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13" w:rsidRDefault="00DD0113"/>
  </w:footnote>
  <w:footnote w:type="continuationSeparator" w:id="0">
    <w:p w:rsidR="00DD0113" w:rsidRDefault="00DD01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4128"/>
    <w:multiLevelType w:val="multilevel"/>
    <w:tmpl w:val="CDE456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B1338"/>
    <w:multiLevelType w:val="multilevel"/>
    <w:tmpl w:val="D8D4F8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0"/>
    <w:rsid w:val="000C66C0"/>
    <w:rsid w:val="00345B1B"/>
    <w:rsid w:val="00D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637"/>
  <w15:docId w15:val="{4B285748-041C-4F0E-B527-CF1437B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line="228" w:lineRule="auto"/>
      <w:jc w:val="center"/>
      <w:outlineLvl w:val="0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KREMELOVA</dc:creator>
  <cp:keywords>PUBLIC -</cp:keywords>
  <cp:lastModifiedBy>Vejnarová</cp:lastModifiedBy>
  <cp:revision>3</cp:revision>
  <dcterms:created xsi:type="dcterms:W3CDTF">2021-12-14T12:47:00Z</dcterms:created>
  <dcterms:modified xsi:type="dcterms:W3CDTF">2021-12-14T12:51:00Z</dcterms:modified>
</cp:coreProperties>
</file>