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360" w:after="160"/>
        <w:jc w:val="center"/>
        <w:rPr>
          <w:rFonts w:cs="Calibri"/>
          <w:b/>
          <w:sz w:val="36"/>
          <w:szCs w:val="40"/>
        </w:rPr>
      </w:pPr>
      <w:r>
        <w:rPr>
          <w:rFonts w:cs="Calibri"/>
          <w:b/>
          <w:sz w:val="36"/>
          <w:szCs w:val="40"/>
        </w:rPr>
        <w:t>LICENČNÍ SMLOUVA</w:t>
      </w:r>
    </w:p>
    <w:p>
      <w:pPr>
        <w:spacing w:before="360" w:after="160"/>
        <w:jc w:val="center"/>
        <w:rPr>
          <w:rFonts w:cs="Calibri"/>
          <w:b/>
          <w:sz w:val="36"/>
          <w:szCs w:val="40"/>
        </w:rPr>
      </w:pPr>
    </w:p>
    <w:p>
      <w:pPr>
        <w:numPr>
          <w:ilvl w:val="0"/>
          <w:numId w:val="3"/>
        </w:numPr>
        <w:spacing w:before="360" w:after="240"/>
        <w:jc w:val="center"/>
        <w:rPr>
          <w:rFonts w:cs="Calibri"/>
          <w:b/>
          <w:szCs w:val="32"/>
        </w:rPr>
      </w:pPr>
      <w:r>
        <w:rPr>
          <w:rFonts w:cs="Calibri"/>
          <w:b/>
          <w:szCs w:val="32"/>
        </w:rPr>
        <w:t>Smluvní strany</w:t>
      </w:r>
    </w:p>
    <w:p>
      <w:pPr>
        <w:rPr>
          <w:rFonts w:cs="Calibri"/>
          <w:b/>
          <w:iCs/>
          <w:szCs w:val="24"/>
        </w:rPr>
      </w:pPr>
      <w:r>
        <w:rPr>
          <w:rFonts w:cs="Calibri"/>
          <w:b/>
          <w:iCs/>
          <w:szCs w:val="24"/>
        </w:rPr>
        <w:t>Poskytovatel:</w:t>
      </w:r>
    </w:p>
    <w:p>
      <w:pPr>
        <w:rPr>
          <w:rFonts w:cs="Calibri"/>
          <w:b/>
          <w:iCs/>
          <w:sz w:val="22"/>
          <w:szCs w:val="24"/>
        </w:rPr>
      </w:pPr>
    </w:p>
    <w:tbl>
      <w:tblPr>
        <w:tblW w:w="0" w:type="auto"/>
        <w:tblInd w:w="108" w:type="dxa"/>
        <w:tblLayout w:type="fixed"/>
        <w:tblLook w:val="0000" w:firstRow="0" w:lastRow="0" w:firstColumn="0" w:lastColumn="0" w:noHBand="0" w:noVBand="0"/>
      </w:tblPr>
      <w:tblGrid>
        <w:gridCol w:w="2628"/>
        <w:gridCol w:w="2232"/>
        <w:gridCol w:w="1948"/>
        <w:gridCol w:w="2013"/>
      </w:tblGrid>
      <w:tr>
        <w:trPr>
          <w:cantSplit/>
        </w:trPr>
        <w:tc>
          <w:tcPr>
            <w:tcW w:w="8821" w:type="dxa"/>
            <w:gridSpan w:val="4"/>
          </w:tcPr>
          <w:p>
            <w:pPr>
              <w:rPr>
                <w:rFonts w:cs="Calibri"/>
                <w:sz w:val="22"/>
                <w:szCs w:val="24"/>
              </w:rPr>
            </w:pPr>
            <w:r>
              <w:rPr>
                <w:rFonts w:cs="Calibri"/>
                <w:b/>
                <w:iCs/>
                <w:sz w:val="22"/>
                <w:szCs w:val="24"/>
              </w:rPr>
              <w:t>AUTOCONT a.s.</w:t>
            </w:r>
          </w:p>
        </w:tc>
      </w:tr>
      <w:tr>
        <w:trPr>
          <w:cantSplit/>
        </w:trPr>
        <w:tc>
          <w:tcPr>
            <w:tcW w:w="8821" w:type="dxa"/>
            <w:gridSpan w:val="4"/>
          </w:tcPr>
          <w:p>
            <w:pPr>
              <w:rPr>
                <w:rFonts w:cs="Calibri"/>
                <w:i/>
                <w:iCs/>
                <w:sz w:val="22"/>
                <w:szCs w:val="24"/>
              </w:rPr>
            </w:pPr>
            <w:r>
              <w:rPr>
                <w:rFonts w:cs="Calibri"/>
                <w:sz w:val="22"/>
                <w:szCs w:val="24"/>
              </w:rPr>
              <w:t>Sídlo: Hornopolní 3322/34, 702 00 Ostrava-Moravská Ostrava</w:t>
            </w:r>
          </w:p>
        </w:tc>
      </w:tr>
      <w:tr>
        <w:trPr>
          <w:cantSplit/>
        </w:trPr>
        <w:tc>
          <w:tcPr>
            <w:tcW w:w="8821" w:type="dxa"/>
            <w:gridSpan w:val="4"/>
          </w:tcPr>
          <w:p>
            <w:pPr>
              <w:rPr>
                <w:rFonts w:cs="Calibri"/>
                <w:iCs/>
                <w:sz w:val="22"/>
                <w:szCs w:val="24"/>
              </w:rPr>
            </w:pPr>
            <w:r>
              <w:rPr>
                <w:rFonts w:cs="Calibri"/>
                <w:sz w:val="22"/>
                <w:szCs w:val="24"/>
              </w:rPr>
              <w:t>Zastoupený: Bc. Vladimírem Vybíralem, MBA na základě plné moci</w:t>
            </w:r>
          </w:p>
        </w:tc>
      </w:tr>
      <w:tr>
        <w:trPr>
          <w:cantSplit/>
        </w:trPr>
        <w:tc>
          <w:tcPr>
            <w:tcW w:w="8821" w:type="dxa"/>
            <w:gridSpan w:val="4"/>
          </w:tcPr>
          <w:p>
            <w:pPr>
              <w:rPr>
                <w:rFonts w:cs="Calibri"/>
                <w:i/>
                <w:iCs/>
                <w:sz w:val="22"/>
                <w:szCs w:val="24"/>
              </w:rPr>
            </w:pPr>
            <w:r>
              <w:rPr>
                <w:rFonts w:cs="Calibri"/>
                <w:sz w:val="22"/>
                <w:szCs w:val="24"/>
              </w:rPr>
              <w:t>bank. spojení: Česká spořitelna a.s., č.ú. 6563752/0800</w:t>
            </w:r>
          </w:p>
        </w:tc>
      </w:tr>
      <w:tr>
        <w:trPr>
          <w:cantSplit/>
        </w:trPr>
        <w:tc>
          <w:tcPr>
            <w:tcW w:w="2628" w:type="dxa"/>
          </w:tcPr>
          <w:p>
            <w:pPr>
              <w:rPr>
                <w:rFonts w:cs="Calibri"/>
                <w:sz w:val="22"/>
                <w:szCs w:val="24"/>
              </w:rPr>
            </w:pPr>
            <w:r>
              <w:rPr>
                <w:rFonts w:cs="Calibri"/>
                <w:sz w:val="22"/>
                <w:szCs w:val="24"/>
              </w:rPr>
              <w:t>IČ: 04308697</w:t>
            </w:r>
          </w:p>
        </w:tc>
        <w:tc>
          <w:tcPr>
            <w:tcW w:w="2232" w:type="dxa"/>
          </w:tcPr>
          <w:p>
            <w:pPr>
              <w:rPr>
                <w:rFonts w:cs="Calibri"/>
                <w:iCs/>
                <w:sz w:val="22"/>
                <w:szCs w:val="24"/>
              </w:rPr>
            </w:pPr>
            <w:r>
              <w:rPr>
                <w:rFonts w:cs="Calibri"/>
                <w:iCs/>
                <w:sz w:val="22"/>
                <w:szCs w:val="24"/>
              </w:rPr>
              <w:t>DIČ: CZ04308697</w:t>
            </w:r>
          </w:p>
        </w:tc>
        <w:tc>
          <w:tcPr>
            <w:tcW w:w="1948" w:type="dxa"/>
          </w:tcPr>
          <w:p>
            <w:pPr>
              <w:rPr>
                <w:rFonts w:cs="Calibri"/>
                <w:sz w:val="22"/>
                <w:szCs w:val="24"/>
              </w:rPr>
            </w:pPr>
          </w:p>
        </w:tc>
        <w:tc>
          <w:tcPr>
            <w:tcW w:w="2013" w:type="dxa"/>
          </w:tcPr>
          <w:p>
            <w:pPr>
              <w:rPr>
                <w:rFonts w:cs="Calibri"/>
                <w:iCs/>
                <w:sz w:val="22"/>
                <w:szCs w:val="24"/>
              </w:rPr>
            </w:pPr>
          </w:p>
        </w:tc>
      </w:tr>
    </w:tbl>
    <w:p>
      <w:pPr>
        <w:rPr>
          <w:rFonts w:cs="Calibri"/>
          <w:sz w:val="32"/>
          <w:szCs w:val="32"/>
        </w:rPr>
      </w:pPr>
    </w:p>
    <w:p>
      <w:pPr>
        <w:rPr>
          <w:rFonts w:cs="Calibri"/>
          <w:b/>
          <w:iCs/>
          <w:szCs w:val="24"/>
        </w:rPr>
      </w:pPr>
      <w:r>
        <w:rPr>
          <w:rFonts w:cs="Calibri"/>
          <w:b/>
          <w:iCs/>
          <w:szCs w:val="24"/>
        </w:rPr>
        <w:t>Nabyvatel:</w:t>
      </w:r>
    </w:p>
    <w:p>
      <w:pPr>
        <w:rPr>
          <w:rFonts w:cs="Calibri"/>
          <w:b/>
          <w:iCs/>
          <w:sz w:val="22"/>
          <w:szCs w:val="24"/>
        </w:rPr>
      </w:pPr>
    </w:p>
    <w:tbl>
      <w:tblPr>
        <w:tblW w:w="0" w:type="auto"/>
        <w:tblInd w:w="108" w:type="dxa"/>
        <w:tblLayout w:type="fixed"/>
        <w:tblLook w:val="0000" w:firstRow="0" w:lastRow="0" w:firstColumn="0" w:lastColumn="0" w:noHBand="0" w:noVBand="0"/>
      </w:tblPr>
      <w:tblGrid>
        <w:gridCol w:w="2628"/>
        <w:gridCol w:w="2232"/>
        <w:gridCol w:w="1948"/>
        <w:gridCol w:w="2013"/>
      </w:tblGrid>
      <w:tr>
        <w:trPr>
          <w:cantSplit/>
        </w:trPr>
        <w:tc>
          <w:tcPr>
            <w:tcW w:w="8821" w:type="dxa"/>
            <w:gridSpan w:val="4"/>
          </w:tcPr>
          <w:p>
            <w:pPr>
              <w:rPr>
                <w:rFonts w:cs="Calibri"/>
                <w:sz w:val="22"/>
                <w:szCs w:val="24"/>
              </w:rPr>
            </w:pPr>
            <w:r>
              <w:rPr>
                <w:rFonts w:cs="Calibri"/>
                <w:b/>
                <w:iCs/>
                <w:sz w:val="22"/>
                <w:szCs w:val="24"/>
              </w:rPr>
              <w:t>Město Bruntál</w:t>
            </w:r>
          </w:p>
        </w:tc>
      </w:tr>
      <w:tr>
        <w:trPr>
          <w:cantSplit/>
        </w:trPr>
        <w:tc>
          <w:tcPr>
            <w:tcW w:w="8821" w:type="dxa"/>
            <w:gridSpan w:val="4"/>
          </w:tcPr>
          <w:p>
            <w:pPr>
              <w:rPr>
                <w:rFonts w:cs="Calibri"/>
                <w:i/>
                <w:iCs/>
                <w:sz w:val="22"/>
                <w:szCs w:val="24"/>
              </w:rPr>
            </w:pPr>
            <w:r>
              <w:rPr>
                <w:rFonts w:cs="Calibri"/>
                <w:sz w:val="22"/>
                <w:szCs w:val="24"/>
              </w:rPr>
              <w:t>Sídlo: Nádražní 994/20, 92 01 Bruntál</w:t>
            </w:r>
          </w:p>
        </w:tc>
      </w:tr>
      <w:tr>
        <w:trPr>
          <w:cantSplit/>
        </w:trPr>
        <w:tc>
          <w:tcPr>
            <w:tcW w:w="8821" w:type="dxa"/>
            <w:gridSpan w:val="4"/>
          </w:tcPr>
          <w:p>
            <w:pPr>
              <w:rPr>
                <w:rFonts w:cs="Calibri"/>
                <w:iCs/>
                <w:sz w:val="22"/>
                <w:szCs w:val="24"/>
              </w:rPr>
            </w:pPr>
            <w:r>
              <w:rPr>
                <w:rFonts w:cs="Calibri"/>
                <w:sz w:val="22"/>
                <w:szCs w:val="24"/>
              </w:rPr>
              <w:t>Jednající: Bc. Martin Henč, 2. místostarosta</w:t>
            </w:r>
          </w:p>
        </w:tc>
      </w:tr>
      <w:tr>
        <w:trPr>
          <w:cantSplit/>
        </w:trPr>
        <w:tc>
          <w:tcPr>
            <w:tcW w:w="8821" w:type="dxa"/>
            <w:gridSpan w:val="4"/>
          </w:tcPr>
          <w:p>
            <w:pPr>
              <w:rPr>
                <w:rFonts w:cs="Calibri"/>
                <w:i/>
                <w:iCs/>
                <w:sz w:val="22"/>
                <w:szCs w:val="24"/>
              </w:rPr>
            </w:pPr>
            <w:r>
              <w:rPr>
                <w:rFonts w:cs="Calibri"/>
                <w:sz w:val="22"/>
                <w:szCs w:val="24"/>
              </w:rPr>
              <w:t xml:space="preserve">bank. spojení: ČSOB Bruntál, č. </w:t>
            </w:r>
            <w:proofErr w:type="spellStart"/>
            <w:r>
              <w:rPr>
                <w:rFonts w:cs="Calibri"/>
                <w:sz w:val="22"/>
                <w:szCs w:val="24"/>
              </w:rPr>
              <w:t>ú.</w:t>
            </w:r>
            <w:proofErr w:type="spellEnd"/>
            <w:r>
              <w:rPr>
                <w:rFonts w:cs="Calibri"/>
                <w:sz w:val="22"/>
                <w:szCs w:val="24"/>
              </w:rPr>
              <w:t>: 230111021/0300</w:t>
            </w:r>
          </w:p>
        </w:tc>
      </w:tr>
      <w:tr>
        <w:trPr>
          <w:cantSplit/>
        </w:trPr>
        <w:tc>
          <w:tcPr>
            <w:tcW w:w="2628" w:type="dxa"/>
          </w:tcPr>
          <w:p>
            <w:pPr>
              <w:rPr>
                <w:rFonts w:cs="Calibri"/>
                <w:sz w:val="22"/>
                <w:szCs w:val="24"/>
              </w:rPr>
            </w:pPr>
            <w:r>
              <w:rPr>
                <w:rFonts w:cs="Calibri"/>
                <w:sz w:val="22"/>
                <w:szCs w:val="24"/>
              </w:rPr>
              <w:t xml:space="preserve">IČ: </w:t>
            </w:r>
            <w:r>
              <w:rPr>
                <w:rFonts w:ascii="ArialMT" w:eastAsiaTheme="minorHAnsi" w:hAnsi="ArialMT" w:cs="ArialMT"/>
                <w:sz w:val="22"/>
                <w:szCs w:val="22"/>
                <w:lang w:eastAsia="en-US"/>
              </w:rPr>
              <w:t>00295892</w:t>
            </w:r>
          </w:p>
        </w:tc>
        <w:tc>
          <w:tcPr>
            <w:tcW w:w="2232" w:type="dxa"/>
          </w:tcPr>
          <w:p>
            <w:pPr>
              <w:rPr>
                <w:rFonts w:cs="Calibri"/>
                <w:iCs/>
                <w:sz w:val="22"/>
                <w:szCs w:val="24"/>
              </w:rPr>
            </w:pPr>
            <w:r>
              <w:rPr>
                <w:rFonts w:cs="Calibri"/>
                <w:iCs/>
                <w:sz w:val="22"/>
                <w:szCs w:val="24"/>
              </w:rPr>
              <w:t>DIČ: CZ</w:t>
            </w:r>
            <w:r>
              <w:rPr>
                <w:rFonts w:ascii="ArialMT" w:eastAsiaTheme="minorHAnsi" w:hAnsi="ArialMT" w:cs="ArialMT"/>
                <w:sz w:val="22"/>
                <w:szCs w:val="22"/>
                <w:lang w:eastAsia="en-US"/>
              </w:rPr>
              <w:t xml:space="preserve"> 00295892</w:t>
            </w:r>
          </w:p>
        </w:tc>
        <w:tc>
          <w:tcPr>
            <w:tcW w:w="1948" w:type="dxa"/>
          </w:tcPr>
          <w:p>
            <w:pPr>
              <w:rPr>
                <w:rFonts w:cs="Calibri"/>
                <w:sz w:val="22"/>
                <w:szCs w:val="24"/>
              </w:rPr>
            </w:pPr>
          </w:p>
        </w:tc>
        <w:tc>
          <w:tcPr>
            <w:tcW w:w="2013" w:type="dxa"/>
          </w:tcPr>
          <w:p>
            <w:pPr>
              <w:rPr>
                <w:rFonts w:cs="Calibri"/>
                <w:iCs/>
                <w:sz w:val="22"/>
                <w:szCs w:val="24"/>
              </w:rPr>
            </w:pPr>
          </w:p>
        </w:tc>
      </w:tr>
    </w:tbl>
    <w:p>
      <w:pPr>
        <w:rPr>
          <w:rFonts w:cs="Calibri"/>
          <w:sz w:val="22"/>
          <w:szCs w:val="24"/>
        </w:rPr>
      </w:pPr>
    </w:p>
    <w:p>
      <w:pPr>
        <w:rPr>
          <w:rFonts w:cs="Calibri"/>
          <w:sz w:val="22"/>
          <w:szCs w:val="24"/>
        </w:rPr>
      </w:pPr>
    </w:p>
    <w:p>
      <w:pPr>
        <w:rPr>
          <w:rFonts w:cs="Calibri"/>
          <w:sz w:val="22"/>
          <w:szCs w:val="24"/>
        </w:rPr>
      </w:pPr>
      <w:r>
        <w:rPr>
          <w:rFonts w:cs="Calibri"/>
          <w:sz w:val="22"/>
          <w:szCs w:val="24"/>
        </w:rPr>
        <w:t>uzavírají ve smyslu § 2358 občanského zákoníku tuto Smlouvu</w:t>
      </w:r>
    </w:p>
    <w:p>
      <w:pPr>
        <w:numPr>
          <w:ilvl w:val="0"/>
          <w:numId w:val="3"/>
        </w:numPr>
        <w:spacing w:before="360" w:after="240"/>
        <w:ind w:left="567" w:hanging="567"/>
        <w:jc w:val="center"/>
        <w:rPr>
          <w:rFonts w:cs="Calibri"/>
          <w:b/>
          <w:szCs w:val="32"/>
        </w:rPr>
      </w:pPr>
      <w:r>
        <w:rPr>
          <w:rFonts w:cs="Calibri"/>
          <w:b/>
          <w:szCs w:val="32"/>
        </w:rPr>
        <w:t>Preambule</w:t>
      </w:r>
    </w:p>
    <w:p>
      <w:pPr>
        <w:numPr>
          <w:ilvl w:val="1"/>
          <w:numId w:val="3"/>
        </w:numPr>
        <w:ind w:left="567" w:hanging="567"/>
        <w:rPr>
          <w:rFonts w:cs="Calibri"/>
          <w:sz w:val="22"/>
          <w:szCs w:val="24"/>
        </w:rPr>
      </w:pPr>
      <w:r>
        <w:rPr>
          <w:rFonts w:cs="Calibri"/>
          <w:sz w:val="22"/>
          <w:szCs w:val="24"/>
        </w:rPr>
        <w:t>Tato Smlouva je uzavřena na základě výsledku VZ/2021-MěstoBruntál-Microsoft365 E3 za účelem stanovení podmínek pro poskytování užívacích práv (dále jen „Licence“) k programovým produktům Microsoft 365 E3.</w:t>
      </w:r>
    </w:p>
    <w:p>
      <w:pPr>
        <w:numPr>
          <w:ilvl w:val="0"/>
          <w:numId w:val="3"/>
        </w:numPr>
        <w:spacing w:before="360" w:after="240"/>
        <w:ind w:left="567" w:hanging="567"/>
        <w:jc w:val="center"/>
        <w:rPr>
          <w:rFonts w:cs="Calibri"/>
          <w:b/>
          <w:szCs w:val="32"/>
        </w:rPr>
      </w:pPr>
      <w:r>
        <w:rPr>
          <w:rFonts w:cs="Calibri"/>
          <w:b/>
          <w:szCs w:val="32"/>
        </w:rPr>
        <w:t>Předmět plnění</w:t>
      </w:r>
    </w:p>
    <w:p>
      <w:pPr>
        <w:numPr>
          <w:ilvl w:val="1"/>
          <w:numId w:val="3"/>
        </w:numPr>
        <w:ind w:left="567" w:hanging="567"/>
        <w:rPr>
          <w:sz w:val="22"/>
          <w:szCs w:val="18"/>
        </w:rPr>
      </w:pPr>
      <w:r>
        <w:rPr>
          <w:rFonts w:cs="Calibri"/>
          <w:sz w:val="22"/>
          <w:szCs w:val="24"/>
        </w:rPr>
        <w:t>Předmětem plnění je zajištění dodání 22 ks licencí u</w:t>
      </w:r>
      <w:r>
        <w:rPr>
          <w:sz w:val="22"/>
          <w:szCs w:val="18"/>
        </w:rPr>
        <w:t xml:space="preserve">žívacích práv k produktu </w:t>
      </w:r>
      <w:r>
        <w:rPr>
          <w:rFonts w:cs="Calibri"/>
          <w:sz w:val="22"/>
          <w:szCs w:val="24"/>
        </w:rPr>
        <w:t>Microsoft 365 E3. Specifikace předmětu plnění je v Příloze č. 1, která je nedílnou součástí této Smlouvy. Jednotlivé licence budou aktivovány na základě pokynu Nabyvatele postupně během platnosti této Smlouvy dle aktuálních potřeb Nabyvatele. Počet aktivních licencí tak bude určovat výhradně Nabyvatel.</w:t>
      </w:r>
    </w:p>
    <w:p>
      <w:pPr>
        <w:pStyle w:val="Odstavecseseznamem"/>
        <w:ind w:left="360"/>
      </w:pPr>
      <w:r>
        <w:rPr>
          <w:sz w:val="22"/>
          <w:szCs w:val="18"/>
        </w:rPr>
        <w:t xml:space="preserve">                                             </w:t>
      </w:r>
    </w:p>
    <w:p>
      <w:pPr>
        <w:numPr>
          <w:ilvl w:val="0"/>
          <w:numId w:val="3"/>
        </w:numPr>
        <w:spacing w:before="360" w:after="240"/>
        <w:ind w:left="567" w:hanging="567"/>
        <w:jc w:val="center"/>
        <w:rPr>
          <w:rFonts w:cs="Calibri"/>
          <w:b/>
          <w:szCs w:val="32"/>
        </w:rPr>
      </w:pPr>
      <w:r>
        <w:rPr>
          <w:rFonts w:cs="Calibri"/>
          <w:b/>
          <w:szCs w:val="32"/>
        </w:rPr>
        <w:t>Termíny plnění</w:t>
      </w:r>
    </w:p>
    <w:p>
      <w:pPr>
        <w:numPr>
          <w:ilvl w:val="1"/>
          <w:numId w:val="3"/>
        </w:numPr>
        <w:ind w:left="567" w:hanging="567"/>
        <w:rPr>
          <w:rFonts w:cs="Calibri"/>
          <w:sz w:val="22"/>
          <w:szCs w:val="24"/>
        </w:rPr>
      </w:pPr>
      <w:r>
        <w:rPr>
          <w:rFonts w:cs="Calibri"/>
          <w:sz w:val="22"/>
          <w:szCs w:val="24"/>
        </w:rPr>
        <w:t>Veškeré aktivace a rušení užívání licencí budou provedeny na základě pokynu Nabyvatele.</w:t>
      </w:r>
    </w:p>
    <w:p>
      <w:pPr>
        <w:ind w:left="567"/>
        <w:rPr>
          <w:rFonts w:cs="Calibri"/>
          <w:sz w:val="22"/>
          <w:szCs w:val="24"/>
        </w:rPr>
      </w:pPr>
      <w:r>
        <w:rPr>
          <w:rFonts w:cs="Calibri"/>
          <w:sz w:val="22"/>
          <w:szCs w:val="24"/>
        </w:rPr>
        <w:t>Poskytovatel se zavazuje aktivovat licenci či zrušit užívání licence do dvou pracovních dnů od doručení pokynu Nabyvatele. První aktivaci licence resp. licencí Poskytovatel provede nejpozději do 4 pracovních dnů od nabytí účinnosti této Smlouvy, pokud obdrží Poskytovatel od Nabyvatele příslušný pokyn k aktivaci licence.</w:t>
      </w:r>
    </w:p>
    <w:p>
      <w:pPr>
        <w:ind w:left="567"/>
        <w:rPr>
          <w:rFonts w:cs="Calibri"/>
          <w:sz w:val="22"/>
          <w:szCs w:val="24"/>
        </w:rPr>
      </w:pPr>
      <w:r>
        <w:rPr>
          <w:rFonts w:cs="Calibri"/>
          <w:sz w:val="22"/>
          <w:szCs w:val="24"/>
        </w:rPr>
        <w:t xml:space="preserve">Plnění Smlouvy bude splněno připsáním licencí do licenčního portálu výrobce a odesláním potvrzení o aktivaci licence jako odpovědi na email obsahující pokyn Nabyvatele k aktivaci licence. Nabyvatel bude mít možnost změny v licenčním portálu ověřit. </w:t>
      </w:r>
      <w:r>
        <w:rPr>
          <w:rFonts w:cs="Calibri"/>
          <w:sz w:val="22"/>
          <w:szCs w:val="24"/>
        </w:rPr>
        <w:br/>
      </w:r>
    </w:p>
    <w:p>
      <w:pPr>
        <w:numPr>
          <w:ilvl w:val="0"/>
          <w:numId w:val="3"/>
        </w:numPr>
        <w:spacing w:before="360" w:after="240"/>
        <w:ind w:left="567" w:hanging="567"/>
        <w:jc w:val="center"/>
        <w:rPr>
          <w:rFonts w:cs="Calibri"/>
          <w:b/>
          <w:szCs w:val="32"/>
        </w:rPr>
      </w:pPr>
      <w:r>
        <w:rPr>
          <w:rFonts w:cs="Calibri"/>
          <w:b/>
          <w:szCs w:val="32"/>
        </w:rPr>
        <w:lastRenderedPageBreak/>
        <w:t>Cena a platební podmínky</w:t>
      </w:r>
    </w:p>
    <w:p>
      <w:pPr>
        <w:numPr>
          <w:ilvl w:val="1"/>
          <w:numId w:val="3"/>
        </w:numPr>
        <w:ind w:left="567" w:hanging="567"/>
        <w:rPr>
          <w:rFonts w:cs="Calibri"/>
          <w:sz w:val="22"/>
          <w:szCs w:val="24"/>
        </w:rPr>
      </w:pPr>
      <w:r>
        <w:rPr>
          <w:rFonts w:cs="Calibri"/>
          <w:sz w:val="22"/>
          <w:szCs w:val="24"/>
        </w:rPr>
        <w:t>Cena za1 licenci Microsoft 365 E3 činí 480,- Kč bez DPH za 1 měsíc užívání licence. Tato cena zahrnuje i případný upgrade předmětu plnění této Smlouvy během doby užívání licence.</w:t>
      </w:r>
    </w:p>
    <w:p>
      <w:pPr>
        <w:ind w:left="567"/>
        <w:rPr>
          <w:rFonts w:cs="Calibri"/>
          <w:sz w:val="22"/>
          <w:szCs w:val="24"/>
        </w:rPr>
      </w:pPr>
    </w:p>
    <w:p>
      <w:pPr>
        <w:numPr>
          <w:ilvl w:val="1"/>
          <w:numId w:val="3"/>
        </w:numPr>
        <w:rPr>
          <w:rFonts w:cs="Calibri"/>
          <w:sz w:val="22"/>
          <w:szCs w:val="24"/>
        </w:rPr>
      </w:pPr>
      <w:r>
        <w:rPr>
          <w:rFonts w:cs="Calibri"/>
          <w:sz w:val="22"/>
          <w:szCs w:val="24"/>
        </w:rPr>
        <w:t>Celková cena předmětu plnění po dobu trvání Smlouvy činí 380 160,- Kč bez DPH, což je 459 993,60 Kč s DPH. Tato cena je po dobu platnosti a účinnosti této Smlouvy maximální a nepřekročitelná a zahrnuje veškeré náklady nutné pro řádné plnění předmětu této Smlouvy včetně nákladů souvisejících.</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Účtovací období bude měsíční a vždy bude účtovány pouze aktivní licence za účtovací období. Budou tak účtovány pouze licence reálně nasazené do provozu, tedy aktivní licence, k jejichž aktivaci vydal Nabyvatel pokyn. Licence, jejichž užívání byly na pokyn Nabyvatele zrušeny, nebudou v dalším období dále účtovány.</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Smluvní strany se dohodly na bezhotovostním placení z účtu Nabyvatele na účet Poskytovatele. Platba se uskuteční v korunách českých na základě daňového dokladu (dále jen faktury), kterou vystaví Poskytovatel se splatností min. 30</w:t>
      </w:r>
      <w:r>
        <w:rPr>
          <w:rFonts w:cs="Calibri"/>
          <w:b/>
          <w:sz w:val="22"/>
          <w:szCs w:val="24"/>
        </w:rPr>
        <w:t xml:space="preserve"> </w:t>
      </w:r>
      <w:r>
        <w:rPr>
          <w:rFonts w:cs="Calibri"/>
          <w:sz w:val="22"/>
          <w:szCs w:val="24"/>
        </w:rPr>
        <w:t>dnů</w:t>
      </w:r>
      <w:r>
        <w:rPr>
          <w:rFonts w:cs="Calibri"/>
          <w:b/>
          <w:sz w:val="22"/>
          <w:szCs w:val="24"/>
        </w:rPr>
        <w:t xml:space="preserve"> </w:t>
      </w:r>
      <w:r>
        <w:rPr>
          <w:rFonts w:cs="Calibri"/>
          <w:sz w:val="22"/>
          <w:szCs w:val="24"/>
        </w:rPr>
        <w:t>od vystavení faktury. Daňový doklad musí obsahovat veškeré náležitosti v souladu se zákonem č. 235/2004 Sb.</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Fakturace bude probíhat elektronicky. Faktura ve strojově čitelném pdf formátu bude opatřena kvalifikovaným certifikátem a zaslána na adresu XXXXXXXXXXXXX.</w:t>
      </w:r>
    </w:p>
    <w:p>
      <w:pPr>
        <w:ind w:left="567"/>
        <w:rPr>
          <w:rFonts w:cs="Calibri"/>
          <w:sz w:val="22"/>
          <w:szCs w:val="24"/>
        </w:rPr>
      </w:pPr>
      <w:r>
        <w:rPr>
          <w:rFonts w:cs="Calibri"/>
          <w:sz w:val="22"/>
          <w:szCs w:val="24"/>
        </w:rPr>
        <w:t>V případě, že faktura vystavená Poskytovatelem nebude obsahovat náležitosti dle této Smlouvy, je Nabyvatel oprávněn fakturu vrátit Poskytovateli, přičemž po doručení opravené faktury začne znovu od počátku běžet lhůta její splatnosti, která bude činit rovněž min. 30 dní</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Povinnost Nabyvatele zaplatit je splněna dnem připsání příslušné finanční částky na účet Poskytovatele.</w:t>
      </w:r>
    </w:p>
    <w:p>
      <w:pPr>
        <w:numPr>
          <w:ilvl w:val="0"/>
          <w:numId w:val="3"/>
        </w:numPr>
        <w:spacing w:before="360" w:after="240"/>
        <w:ind w:left="567" w:hanging="567"/>
        <w:jc w:val="center"/>
        <w:rPr>
          <w:rFonts w:cs="Calibri"/>
          <w:b/>
          <w:szCs w:val="32"/>
        </w:rPr>
      </w:pPr>
      <w:r>
        <w:rPr>
          <w:rFonts w:cs="Calibri"/>
          <w:b/>
          <w:szCs w:val="32"/>
        </w:rPr>
        <w:t>Závazky Poskytovatele</w:t>
      </w:r>
    </w:p>
    <w:p>
      <w:pPr>
        <w:ind w:left="567"/>
        <w:rPr>
          <w:rFonts w:cs="Calibri"/>
          <w:sz w:val="22"/>
          <w:szCs w:val="24"/>
        </w:rPr>
      </w:pPr>
      <w:r>
        <w:rPr>
          <w:rFonts w:cs="Calibri"/>
          <w:sz w:val="22"/>
          <w:szCs w:val="24"/>
        </w:rPr>
        <w:t>Poskytovatel je povinen:</w:t>
      </w:r>
    </w:p>
    <w:p>
      <w:pPr>
        <w:ind w:left="567"/>
        <w:rPr>
          <w:rFonts w:cs="Calibri"/>
          <w:sz w:val="22"/>
          <w:szCs w:val="24"/>
        </w:rPr>
      </w:pPr>
    </w:p>
    <w:p>
      <w:pPr>
        <w:pStyle w:val="Odstavecseseznamem"/>
        <w:numPr>
          <w:ilvl w:val="0"/>
          <w:numId w:val="4"/>
        </w:numPr>
        <w:rPr>
          <w:rFonts w:cs="Calibri"/>
          <w:sz w:val="22"/>
          <w:szCs w:val="24"/>
        </w:rPr>
      </w:pPr>
      <w:r>
        <w:rPr>
          <w:rFonts w:cs="Calibri"/>
          <w:sz w:val="22"/>
          <w:szCs w:val="24"/>
        </w:rPr>
        <w:t>Přijímat pokyny Nabyvatele zasílané emailem za účelem aktivování nebo zrušení užívání licence.</w:t>
      </w:r>
    </w:p>
    <w:p>
      <w:pPr>
        <w:pStyle w:val="Odstavecseseznamem"/>
        <w:numPr>
          <w:ilvl w:val="0"/>
          <w:numId w:val="4"/>
        </w:numPr>
        <w:rPr>
          <w:rFonts w:cs="Calibri"/>
          <w:sz w:val="22"/>
          <w:szCs w:val="24"/>
        </w:rPr>
      </w:pPr>
      <w:r>
        <w:rPr>
          <w:rFonts w:cs="Calibri"/>
          <w:sz w:val="22"/>
          <w:szCs w:val="24"/>
        </w:rPr>
        <w:t xml:space="preserve">Aktivovat nebo rušit užívání licencí na základě pokynu Nabyvatele do 2 pracovních dnů od obdržení pokynu Nabyvatele. </w:t>
      </w:r>
    </w:p>
    <w:p>
      <w:pPr>
        <w:pStyle w:val="Odstavecseseznamem"/>
        <w:numPr>
          <w:ilvl w:val="0"/>
          <w:numId w:val="4"/>
        </w:numPr>
        <w:rPr>
          <w:rFonts w:cs="Calibri"/>
          <w:sz w:val="22"/>
          <w:szCs w:val="24"/>
        </w:rPr>
      </w:pPr>
      <w:r>
        <w:rPr>
          <w:rFonts w:cs="Calibri"/>
          <w:sz w:val="22"/>
          <w:szCs w:val="24"/>
        </w:rPr>
        <w:t>Aktivovat licenci na pokyn Nabyvatel i v případě, že počet aktivních licencí bude vyšší, než je uvedeno v odst. 3.1 za podmínky, že nebude po dobu platnosti smlouvy překročena celková cena předmětu plnění uvedená v odst. 5.2.</w:t>
      </w:r>
    </w:p>
    <w:p>
      <w:pPr>
        <w:pStyle w:val="Odstavecseseznamem"/>
        <w:numPr>
          <w:ilvl w:val="0"/>
          <w:numId w:val="4"/>
        </w:numPr>
        <w:rPr>
          <w:rFonts w:cs="Calibri"/>
          <w:sz w:val="22"/>
          <w:szCs w:val="24"/>
        </w:rPr>
      </w:pPr>
      <w:r>
        <w:rPr>
          <w:rFonts w:cs="Calibri"/>
          <w:sz w:val="22"/>
          <w:szCs w:val="24"/>
        </w:rPr>
        <w:t>Informovat Nabyvatele o novinkách, které mohou mít dopad na plnění předmětu Smlouvy.</w:t>
      </w:r>
    </w:p>
    <w:p>
      <w:pPr>
        <w:pStyle w:val="Odstavecseseznamem"/>
        <w:numPr>
          <w:ilvl w:val="0"/>
          <w:numId w:val="4"/>
        </w:numPr>
        <w:rPr>
          <w:rFonts w:cs="Calibri"/>
          <w:sz w:val="22"/>
          <w:szCs w:val="24"/>
        </w:rPr>
      </w:pPr>
      <w:r>
        <w:rPr>
          <w:rFonts w:cs="Calibri"/>
          <w:sz w:val="22"/>
          <w:szCs w:val="24"/>
        </w:rPr>
        <w:t>Další povinnosti vyplývající z této Smlouvy.</w:t>
      </w:r>
    </w:p>
    <w:p>
      <w:pPr>
        <w:pStyle w:val="Odstavecseseznamem"/>
        <w:ind w:left="927"/>
        <w:rPr>
          <w:rFonts w:cs="Calibri"/>
          <w:sz w:val="22"/>
          <w:szCs w:val="24"/>
        </w:rPr>
      </w:pPr>
    </w:p>
    <w:p>
      <w:pPr>
        <w:numPr>
          <w:ilvl w:val="0"/>
          <w:numId w:val="3"/>
        </w:numPr>
        <w:spacing w:before="360" w:after="240"/>
        <w:ind w:left="567" w:hanging="567"/>
        <w:jc w:val="center"/>
        <w:rPr>
          <w:rFonts w:cs="Calibri"/>
          <w:b/>
          <w:szCs w:val="32"/>
        </w:rPr>
      </w:pPr>
      <w:r>
        <w:rPr>
          <w:rFonts w:cs="Calibri"/>
          <w:b/>
          <w:szCs w:val="32"/>
        </w:rPr>
        <w:t>Závazky Nabyvatele</w:t>
      </w:r>
    </w:p>
    <w:p>
      <w:pPr>
        <w:ind w:left="567"/>
        <w:rPr>
          <w:rFonts w:cs="Calibri"/>
          <w:sz w:val="22"/>
          <w:szCs w:val="24"/>
        </w:rPr>
      </w:pPr>
      <w:r>
        <w:rPr>
          <w:rFonts w:cs="Calibri"/>
          <w:sz w:val="22"/>
          <w:szCs w:val="24"/>
        </w:rPr>
        <w:t>Nabyvatel je povinen:</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Nabyvatel je povinen při postupném nasazování resp. aktivování  a rušení užívání licencí zasílat Poskytovateli předepsanou formou (email) pokyn k aktivaci nebo rušení užívání, který bude jednoznačně formulován.</w:t>
      </w:r>
    </w:p>
    <w:p>
      <w:pPr>
        <w:numPr>
          <w:ilvl w:val="1"/>
          <w:numId w:val="3"/>
        </w:numPr>
        <w:ind w:left="567" w:hanging="567"/>
        <w:rPr>
          <w:rFonts w:cs="Calibri"/>
          <w:sz w:val="22"/>
          <w:szCs w:val="24"/>
        </w:rPr>
      </w:pPr>
      <w:r>
        <w:rPr>
          <w:rFonts w:cs="Calibri"/>
          <w:sz w:val="22"/>
          <w:szCs w:val="24"/>
        </w:rPr>
        <w:t>Nabyvatel poskytne Poskytovali nezbytnou součinnost při plnění předmětu smlouvy, bude-li to nezbytně nutné.</w:t>
      </w:r>
    </w:p>
    <w:p>
      <w:pPr>
        <w:numPr>
          <w:ilvl w:val="1"/>
          <w:numId w:val="3"/>
        </w:numPr>
        <w:ind w:left="567" w:hanging="567"/>
        <w:rPr>
          <w:rFonts w:cs="Calibri"/>
          <w:sz w:val="22"/>
          <w:szCs w:val="24"/>
        </w:rPr>
      </w:pPr>
      <w:r>
        <w:rPr>
          <w:rFonts w:cs="Calibri"/>
          <w:sz w:val="22"/>
          <w:szCs w:val="24"/>
        </w:rPr>
        <w:t>Nabyvatel je povinen včas uhradit faktury, budou-li věcně správné a budou-li mít veškeré předepsané náležitosti.</w:t>
      </w:r>
    </w:p>
    <w:p>
      <w:pPr>
        <w:numPr>
          <w:ilvl w:val="0"/>
          <w:numId w:val="3"/>
        </w:numPr>
        <w:spacing w:before="360" w:after="240"/>
        <w:ind w:left="567" w:hanging="567"/>
        <w:jc w:val="center"/>
        <w:rPr>
          <w:rFonts w:cs="Calibri"/>
          <w:b/>
          <w:szCs w:val="32"/>
        </w:rPr>
      </w:pPr>
      <w:r>
        <w:rPr>
          <w:rFonts w:cs="Calibri"/>
          <w:b/>
          <w:szCs w:val="32"/>
        </w:rPr>
        <w:lastRenderedPageBreak/>
        <w:t>Aktivace licencí, rušení užívání licence</w:t>
      </w:r>
    </w:p>
    <w:p>
      <w:pPr>
        <w:numPr>
          <w:ilvl w:val="1"/>
          <w:numId w:val="3"/>
        </w:numPr>
        <w:ind w:left="567" w:hanging="567"/>
        <w:rPr>
          <w:rFonts w:cs="Calibri"/>
          <w:sz w:val="22"/>
          <w:szCs w:val="24"/>
        </w:rPr>
      </w:pPr>
      <w:r>
        <w:rPr>
          <w:rFonts w:cs="Calibri"/>
          <w:sz w:val="22"/>
          <w:szCs w:val="24"/>
        </w:rPr>
        <w:t>Pokyny k aktivaci licence či zrušení užívání licence mohou vydat pouze tyto oprávněné osoby Nabyvatele:</w:t>
      </w:r>
    </w:p>
    <w:p>
      <w:pPr>
        <w:rPr>
          <w:rFonts w:cs="Calibri"/>
          <w:color w:val="000000"/>
          <w:sz w:val="22"/>
          <w:szCs w:val="22"/>
        </w:rPr>
      </w:pPr>
      <w:r>
        <w:rPr>
          <w:rFonts w:cs="Calibri"/>
          <w:color w:val="000000"/>
          <w:sz w:val="22"/>
          <w:szCs w:val="22"/>
        </w:rPr>
        <w:tab/>
        <w:t>Bc. Sonja Frašová, XXXXXXXXXXXXXXXXXXXXXXXXXXXXXXX</w:t>
      </w:r>
    </w:p>
    <w:p>
      <w:pPr>
        <w:rPr>
          <w:rFonts w:cs="Calibri"/>
          <w:color w:val="000000"/>
          <w:sz w:val="22"/>
          <w:szCs w:val="22"/>
        </w:rPr>
      </w:pPr>
      <w:r>
        <w:rPr>
          <w:rFonts w:cs="Calibri"/>
          <w:color w:val="000000"/>
          <w:sz w:val="22"/>
          <w:szCs w:val="22"/>
        </w:rPr>
        <w:tab/>
        <w:t xml:space="preserve">Antonín Habr, </w:t>
      </w:r>
      <w:r>
        <w:rPr>
          <w:rFonts w:cs="Calibri"/>
          <w:color w:val="000000"/>
          <w:sz w:val="22"/>
          <w:szCs w:val="22"/>
        </w:rPr>
        <w:t>XXXXXXXXXXXXXXXXXXXXXXXXXXXXXXX</w:t>
      </w:r>
    </w:p>
    <w:p>
      <w:pPr>
        <w:rPr>
          <w:rFonts w:cs="Calibri"/>
          <w:color w:val="000000"/>
          <w:sz w:val="22"/>
          <w:szCs w:val="22"/>
        </w:rPr>
      </w:pPr>
      <w:r>
        <w:rPr>
          <w:rFonts w:cs="Calibri"/>
          <w:color w:val="000000"/>
          <w:sz w:val="22"/>
          <w:szCs w:val="22"/>
        </w:rPr>
        <w:tab/>
        <w:t xml:space="preserve">Ing. Jan Motal, </w:t>
      </w:r>
      <w:r>
        <w:rPr>
          <w:rFonts w:cs="Calibri"/>
          <w:color w:val="000000"/>
          <w:sz w:val="22"/>
          <w:szCs w:val="22"/>
        </w:rPr>
        <w:t>XXXXXXXXXXXXXXXXXXXXXXXXXXXXXXX</w:t>
      </w:r>
    </w:p>
    <w:p>
      <w:pPr>
        <w:rPr>
          <w:rFonts w:cs="Calibri"/>
          <w:color w:val="000000"/>
          <w:sz w:val="22"/>
          <w:szCs w:val="22"/>
        </w:rPr>
      </w:pPr>
      <w:r>
        <w:rPr>
          <w:rFonts w:cs="Calibri"/>
          <w:color w:val="000000"/>
          <w:sz w:val="22"/>
          <w:szCs w:val="22"/>
        </w:rPr>
        <w:tab/>
        <w:t xml:space="preserve">Ing. Radim Salzmann, </w:t>
      </w:r>
      <w:r>
        <w:rPr>
          <w:rFonts w:cs="Calibri"/>
          <w:color w:val="000000"/>
          <w:sz w:val="22"/>
          <w:szCs w:val="22"/>
        </w:rPr>
        <w:t>XXXXXXXXXXXXXXXXXXXXXXXXXXXXXXX</w:t>
      </w:r>
    </w:p>
    <w:p>
      <w:pPr>
        <w:rPr>
          <w:rFonts w:cs="Calibri"/>
          <w:color w:val="000000"/>
          <w:sz w:val="22"/>
          <w:szCs w:val="22"/>
        </w:rPr>
      </w:pPr>
      <w:r>
        <w:rPr>
          <w:rFonts w:cs="Calibri"/>
          <w:color w:val="000000"/>
          <w:sz w:val="22"/>
          <w:szCs w:val="22"/>
        </w:rPr>
        <w:tab/>
        <w:t xml:space="preserve">Bc. Martin Zgažar, </w:t>
      </w:r>
      <w:r>
        <w:rPr>
          <w:rFonts w:cs="Calibri"/>
          <w:color w:val="000000"/>
          <w:sz w:val="22"/>
          <w:szCs w:val="22"/>
        </w:rPr>
        <w:t>XXXXXXXXXXXXXXXXXXXXXXXXXXXXXXX</w:t>
      </w:r>
    </w:p>
    <w:p>
      <w:pPr>
        <w:tabs>
          <w:tab w:val="left" w:pos="3402"/>
          <w:tab w:val="left" w:pos="4678"/>
        </w:tabs>
        <w:ind w:left="1701"/>
        <w:rPr>
          <w:rFonts w:cs="Calibri"/>
          <w:sz w:val="22"/>
          <w:szCs w:val="24"/>
        </w:rPr>
      </w:pPr>
    </w:p>
    <w:p>
      <w:pPr>
        <w:numPr>
          <w:ilvl w:val="1"/>
          <w:numId w:val="3"/>
        </w:numPr>
        <w:ind w:left="567" w:hanging="567"/>
        <w:rPr>
          <w:rFonts w:cs="Calibri"/>
          <w:sz w:val="22"/>
          <w:szCs w:val="24"/>
        </w:rPr>
      </w:pPr>
      <w:r>
        <w:rPr>
          <w:rFonts w:cs="Calibri"/>
          <w:sz w:val="22"/>
          <w:szCs w:val="24"/>
        </w:rPr>
        <w:t xml:space="preserve">Pokyny k aktivaci licence či zrušení užívání licence ze strany Nabyvatele budou zasílány na adresu Poskytovatele: </w:t>
      </w:r>
      <w:r>
        <w:rPr>
          <w:rFonts w:cs="Calibri"/>
          <w:color w:val="000000"/>
          <w:sz w:val="22"/>
          <w:szCs w:val="22"/>
        </w:rPr>
        <w:t>XXXXXXXXXXXXXXXXXXXXXXXXXXXXXXX</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V případě nejasností nebo problémů budou oprávněné osoby Nabyvatele uvedené v odst. 8.1. kontaktovat pracovníky Poskytovatele:</w:t>
      </w:r>
    </w:p>
    <w:p>
      <w:pPr>
        <w:ind w:left="567"/>
        <w:rPr>
          <w:rFonts w:cs="Calibri"/>
          <w:sz w:val="22"/>
          <w:szCs w:val="24"/>
        </w:rPr>
      </w:pPr>
      <w:r>
        <w:rPr>
          <w:rFonts w:cs="Calibri"/>
          <w:i/>
          <w:sz w:val="22"/>
          <w:szCs w:val="24"/>
        </w:rPr>
        <w:tab/>
        <w:t xml:space="preserve"> </w:t>
      </w:r>
      <w:r>
        <w:rPr>
          <w:rFonts w:cs="Calibri"/>
          <w:sz w:val="22"/>
          <w:szCs w:val="24"/>
        </w:rPr>
        <w:t xml:space="preserve">Jan Hanzl, </w:t>
      </w:r>
      <w:r>
        <w:rPr>
          <w:rFonts w:cs="Calibri"/>
          <w:color w:val="000000"/>
          <w:sz w:val="22"/>
          <w:szCs w:val="22"/>
        </w:rPr>
        <w:t>XXXXXXXXXXXXXXXXXXXXXXXXXXXXXXX</w:t>
      </w:r>
      <w:r>
        <w:rPr>
          <w:rFonts w:cs="Calibri"/>
          <w:sz w:val="22"/>
          <w:szCs w:val="24"/>
        </w:rPr>
        <w:t xml:space="preserve"> </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V případě technických záležitostí, dotazů nebo problémů bude pracovník Poskytovatele uvedený v odst. 8.3. kontaktovat tyto pracovníky Nabyvatele:</w:t>
      </w:r>
    </w:p>
    <w:p>
      <w:pPr>
        <w:pStyle w:val="Odstavecseseznamem"/>
        <w:ind w:left="360"/>
        <w:rPr>
          <w:rFonts w:cs="Calibri"/>
          <w:color w:val="000000"/>
          <w:sz w:val="22"/>
          <w:szCs w:val="22"/>
        </w:rPr>
      </w:pPr>
      <w:r>
        <w:rPr>
          <w:rFonts w:cs="Calibri"/>
          <w:color w:val="000000"/>
          <w:sz w:val="22"/>
          <w:szCs w:val="22"/>
        </w:rPr>
        <w:tab/>
        <w:t xml:space="preserve">Antonín Habr, </w:t>
      </w:r>
      <w:r>
        <w:rPr>
          <w:rFonts w:cs="Calibri"/>
          <w:color w:val="000000"/>
          <w:sz w:val="22"/>
          <w:szCs w:val="22"/>
        </w:rPr>
        <w:t>XXXXXXXXXXXXXXXXXXXXXXXXXXXXXXX</w:t>
      </w:r>
    </w:p>
    <w:p>
      <w:pPr>
        <w:pStyle w:val="Odstavecseseznamem"/>
        <w:ind w:left="360"/>
        <w:rPr>
          <w:rFonts w:cs="Calibri"/>
          <w:color w:val="000000"/>
          <w:sz w:val="22"/>
          <w:szCs w:val="22"/>
        </w:rPr>
      </w:pPr>
      <w:r>
        <w:rPr>
          <w:rFonts w:cs="Calibri"/>
          <w:color w:val="000000"/>
          <w:sz w:val="22"/>
          <w:szCs w:val="22"/>
        </w:rPr>
        <w:tab/>
        <w:t xml:space="preserve">Ing. Radim Salzmann, </w:t>
      </w:r>
      <w:r>
        <w:rPr>
          <w:rFonts w:cs="Calibri"/>
          <w:color w:val="000000"/>
          <w:sz w:val="22"/>
          <w:szCs w:val="22"/>
        </w:rPr>
        <w:t>XXXXXXXXXXXXXXXXXXXXXXXXXXXXXXX</w:t>
      </w:r>
    </w:p>
    <w:p>
      <w:pPr>
        <w:pStyle w:val="Odstavecseseznamem"/>
        <w:ind w:left="360"/>
        <w:rPr>
          <w:rFonts w:cs="Calibri"/>
          <w:color w:val="000000"/>
          <w:sz w:val="22"/>
          <w:szCs w:val="22"/>
        </w:rPr>
      </w:pPr>
      <w:r>
        <w:rPr>
          <w:rFonts w:cs="Calibri"/>
          <w:color w:val="000000"/>
          <w:sz w:val="22"/>
          <w:szCs w:val="22"/>
        </w:rPr>
        <w:tab/>
        <w:t xml:space="preserve">Bc. Martin Zgažar, </w:t>
      </w:r>
      <w:r>
        <w:rPr>
          <w:rFonts w:cs="Calibri"/>
          <w:color w:val="000000"/>
          <w:sz w:val="22"/>
          <w:szCs w:val="22"/>
        </w:rPr>
        <w:t>XXXXXXXXXXXXXXXXXXXXXXXXXXXXXXX</w:t>
      </w:r>
      <w:bookmarkStart w:id="0" w:name="_GoBack"/>
      <w:bookmarkEnd w:id="0"/>
    </w:p>
    <w:p>
      <w:pPr>
        <w:numPr>
          <w:ilvl w:val="0"/>
          <w:numId w:val="3"/>
        </w:numPr>
        <w:spacing w:before="360" w:after="240"/>
        <w:ind w:left="567" w:hanging="567"/>
        <w:jc w:val="center"/>
        <w:rPr>
          <w:rFonts w:cs="Calibri"/>
          <w:b/>
          <w:szCs w:val="32"/>
        </w:rPr>
      </w:pPr>
      <w:r>
        <w:rPr>
          <w:rFonts w:cs="Calibri"/>
          <w:b/>
          <w:szCs w:val="32"/>
        </w:rPr>
        <w:t>Záruka</w:t>
      </w:r>
    </w:p>
    <w:p>
      <w:pPr>
        <w:numPr>
          <w:ilvl w:val="1"/>
          <w:numId w:val="3"/>
        </w:numPr>
        <w:ind w:left="567" w:hanging="567"/>
        <w:rPr>
          <w:rFonts w:cs="Calibri"/>
          <w:sz w:val="22"/>
          <w:szCs w:val="24"/>
        </w:rPr>
      </w:pPr>
      <w:r>
        <w:rPr>
          <w:rFonts w:cs="Calibri"/>
          <w:sz w:val="22"/>
          <w:szCs w:val="24"/>
        </w:rPr>
        <w:t xml:space="preserve">Záruka na funkčnost předmětu plnění této Smlouvy vyplývá z licenčních oprávnění výrobce k užívání a provozování předmětu plnění této Smlouvy a trvá po dobu platnosti této Smlouvy. </w:t>
      </w:r>
    </w:p>
    <w:p>
      <w:pPr>
        <w:numPr>
          <w:ilvl w:val="1"/>
          <w:numId w:val="3"/>
        </w:numPr>
        <w:ind w:left="567" w:hanging="567"/>
        <w:rPr>
          <w:rFonts w:cs="Calibri"/>
          <w:sz w:val="22"/>
          <w:szCs w:val="24"/>
        </w:rPr>
      </w:pPr>
      <w:r>
        <w:rPr>
          <w:rFonts w:cs="Calibri"/>
          <w:sz w:val="22"/>
          <w:szCs w:val="24"/>
        </w:rPr>
        <w:t>Poskytovatel prohlašuje, že veškeré jím dodané plnění podle Smlouvy bude prosté právních vad a zavazuje se odškodnit v plné výši Nabyvatele v případě, že třetí osoba úspěšně uplatní autorskoprávní nárok.</w:t>
      </w:r>
    </w:p>
    <w:p>
      <w:pPr>
        <w:ind w:left="567"/>
        <w:rPr>
          <w:rFonts w:cs="Calibri"/>
          <w:sz w:val="22"/>
          <w:szCs w:val="24"/>
        </w:rPr>
      </w:pPr>
    </w:p>
    <w:p>
      <w:pPr>
        <w:numPr>
          <w:ilvl w:val="0"/>
          <w:numId w:val="3"/>
        </w:numPr>
        <w:spacing w:before="360" w:after="240"/>
        <w:ind w:left="567" w:hanging="567"/>
        <w:jc w:val="center"/>
        <w:rPr>
          <w:rFonts w:cs="Calibri"/>
          <w:b/>
          <w:szCs w:val="32"/>
        </w:rPr>
      </w:pPr>
      <w:r>
        <w:rPr>
          <w:rFonts w:cs="Calibri"/>
          <w:b/>
          <w:szCs w:val="32"/>
        </w:rPr>
        <w:t>Prodlení, sankce</w:t>
      </w:r>
    </w:p>
    <w:p>
      <w:pPr>
        <w:numPr>
          <w:ilvl w:val="1"/>
          <w:numId w:val="3"/>
        </w:numPr>
        <w:ind w:left="567" w:hanging="567"/>
        <w:rPr>
          <w:rFonts w:cs="Calibri"/>
          <w:sz w:val="22"/>
          <w:szCs w:val="24"/>
        </w:rPr>
      </w:pPr>
      <w:r>
        <w:rPr>
          <w:rFonts w:cs="Calibri"/>
          <w:sz w:val="22"/>
          <w:szCs w:val="24"/>
        </w:rPr>
        <w:t>Je-li Nabyvatel v prodlení s placením faktury po dobu delší než patnáct dnů, je Poskytovatel oprávněn vyúčtovat a Nabyvatel povinen zaplatit úroky z prodlení ve výši 0,05</w:t>
      </w:r>
      <w:r>
        <w:rPr>
          <w:rFonts w:cs="Calibri"/>
          <w:b/>
          <w:sz w:val="22"/>
          <w:szCs w:val="24"/>
        </w:rPr>
        <w:t xml:space="preserve"> %</w:t>
      </w:r>
      <w:r>
        <w:rPr>
          <w:rFonts w:cs="Calibri"/>
          <w:sz w:val="22"/>
          <w:szCs w:val="24"/>
        </w:rPr>
        <w:t xml:space="preserve"> z dlužné částky za každý den prodlení až do zaplacení.</w:t>
      </w:r>
    </w:p>
    <w:p>
      <w:pPr>
        <w:ind w:left="1276"/>
        <w:rPr>
          <w:rFonts w:cs="Calibri"/>
          <w:sz w:val="22"/>
          <w:szCs w:val="24"/>
        </w:rPr>
      </w:pPr>
    </w:p>
    <w:p>
      <w:pPr>
        <w:numPr>
          <w:ilvl w:val="1"/>
          <w:numId w:val="3"/>
        </w:numPr>
        <w:ind w:left="567" w:hanging="567"/>
        <w:rPr>
          <w:rFonts w:cs="Calibri"/>
          <w:sz w:val="22"/>
          <w:szCs w:val="24"/>
        </w:rPr>
      </w:pPr>
      <w:r>
        <w:rPr>
          <w:rFonts w:cs="Calibri"/>
          <w:sz w:val="22"/>
          <w:szCs w:val="24"/>
        </w:rPr>
        <w:t>Je-li Poskytovatel v prodlení s plněním předmětu plnění dle této Smlouvy, je Nabyvatel oprávněn vyúčtovat a Poskytovatel povinen zaplatit smluvní pokutu 1.000,- Kč (</w:t>
      </w:r>
      <w:proofErr w:type="spellStart"/>
      <w:r>
        <w:rPr>
          <w:rFonts w:cs="Calibri"/>
          <w:sz w:val="22"/>
          <w:szCs w:val="24"/>
        </w:rPr>
        <w:t>tisíckorunčeských</w:t>
      </w:r>
      <w:proofErr w:type="spellEnd"/>
      <w:r>
        <w:rPr>
          <w:rFonts w:cs="Calibri"/>
          <w:sz w:val="22"/>
          <w:szCs w:val="24"/>
        </w:rPr>
        <w:t>) bez DPH za každý den prodlení s plněním předmětu plnění dle této Smlouvy, pokud nebude dohodnuto jinak.</w:t>
      </w:r>
    </w:p>
    <w:p>
      <w:pPr>
        <w:numPr>
          <w:ilvl w:val="0"/>
          <w:numId w:val="3"/>
        </w:numPr>
        <w:spacing w:before="360" w:after="240"/>
        <w:ind w:left="567" w:hanging="567"/>
        <w:jc w:val="center"/>
        <w:rPr>
          <w:rFonts w:cs="Calibri"/>
          <w:b/>
          <w:szCs w:val="32"/>
        </w:rPr>
      </w:pPr>
      <w:r>
        <w:rPr>
          <w:rFonts w:cs="Calibri"/>
          <w:b/>
          <w:szCs w:val="32"/>
        </w:rPr>
        <w:t>Platnost, odstoupení a zánik smlouvy</w:t>
      </w:r>
    </w:p>
    <w:p>
      <w:pPr>
        <w:numPr>
          <w:ilvl w:val="1"/>
          <w:numId w:val="3"/>
        </w:numPr>
        <w:ind w:left="567" w:hanging="567"/>
        <w:rPr>
          <w:rFonts w:cs="Calibri"/>
          <w:sz w:val="22"/>
          <w:szCs w:val="24"/>
        </w:rPr>
      </w:pPr>
      <w:r>
        <w:rPr>
          <w:rFonts w:cs="Calibri"/>
          <w:sz w:val="22"/>
          <w:szCs w:val="24"/>
        </w:rPr>
        <w:t>Tato Smlouva nabývá platnosti a účinnosti dnem podpisu zástupců obou smluvních stran po uveřejnění v registru smluv.</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Tato Smlouva se sjednává na dobu určitou, a to od data nabytí účinnosti Smlouvy (viz odst. 11.1.) po dobu tří let.</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Smluvní strany se zavazují nepostoupit závazky nebo pohledávky z této Smlouvy třetí osobě bez písemného souhlasu druhé strany.</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Skončit platnost této Smlouvy lze dohodou smluvních stran, která musí mít písemnou formu.</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Jednostranně lze okamžitě od Smlouvy odstoupit v těchto případech:</w:t>
      </w:r>
    </w:p>
    <w:p>
      <w:pPr>
        <w:numPr>
          <w:ilvl w:val="2"/>
          <w:numId w:val="3"/>
        </w:numPr>
        <w:ind w:left="1276" w:hanging="709"/>
        <w:rPr>
          <w:rFonts w:cs="Calibri"/>
          <w:sz w:val="22"/>
          <w:szCs w:val="24"/>
        </w:rPr>
      </w:pPr>
      <w:r>
        <w:rPr>
          <w:rFonts w:cs="Calibri"/>
          <w:sz w:val="22"/>
          <w:szCs w:val="24"/>
        </w:rPr>
        <w:t>Nabyvatel je v prodlení s placením dle specifikace v článku 5 této Smlouvy déle než 40 dnů</w:t>
      </w:r>
    </w:p>
    <w:p>
      <w:pPr>
        <w:numPr>
          <w:ilvl w:val="2"/>
          <w:numId w:val="3"/>
        </w:numPr>
        <w:ind w:left="1276" w:hanging="709"/>
        <w:rPr>
          <w:rFonts w:cs="Calibri"/>
          <w:sz w:val="22"/>
          <w:szCs w:val="24"/>
        </w:rPr>
      </w:pPr>
      <w:r>
        <w:rPr>
          <w:rFonts w:cs="Calibri"/>
          <w:sz w:val="22"/>
          <w:szCs w:val="24"/>
        </w:rPr>
        <w:t>Poskytovatel je ve zpoždění v plnění  této Smlouvy déle než 30 dnů</w:t>
      </w:r>
    </w:p>
    <w:p>
      <w:pPr>
        <w:numPr>
          <w:ilvl w:val="2"/>
          <w:numId w:val="3"/>
        </w:numPr>
        <w:ind w:left="1276" w:hanging="709"/>
        <w:rPr>
          <w:rFonts w:cs="Calibri"/>
          <w:sz w:val="22"/>
          <w:szCs w:val="24"/>
        </w:rPr>
      </w:pPr>
      <w:r>
        <w:rPr>
          <w:rFonts w:cs="Calibri"/>
          <w:sz w:val="22"/>
          <w:szCs w:val="24"/>
        </w:rPr>
        <w:t>Dosáhl-li celkový součet fakturačních částek po dobu účinnosti Smlouvy celkové ceny předmětu plnění, uvedenou v odst. 5.2., která je maximální a nepřekročitelná.</w:t>
      </w:r>
    </w:p>
    <w:p>
      <w:pPr>
        <w:ind w:left="1276"/>
        <w:rPr>
          <w:rFonts w:cs="Calibri"/>
          <w:sz w:val="22"/>
          <w:szCs w:val="24"/>
        </w:rPr>
      </w:pPr>
    </w:p>
    <w:p>
      <w:pPr>
        <w:numPr>
          <w:ilvl w:val="1"/>
          <w:numId w:val="3"/>
        </w:numPr>
        <w:ind w:left="567" w:hanging="567"/>
        <w:rPr>
          <w:rFonts w:cs="Calibri"/>
          <w:sz w:val="22"/>
          <w:szCs w:val="24"/>
        </w:rPr>
      </w:pPr>
      <w:r>
        <w:rPr>
          <w:rFonts w:cs="Calibri"/>
          <w:sz w:val="22"/>
          <w:szCs w:val="24"/>
        </w:rPr>
        <w:t>Smluvní strany jsou povinny vzájemnou dohodou písemně vypořádat dosavadní smluvní plnění nejpozději do 1 měsíce od skončení účinnosti Smlouvy odstoupením.</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Každá smluvní strana je oprávněna jednostranně odstoupit od smlouvy, jestliže:</w:t>
      </w:r>
    </w:p>
    <w:p>
      <w:pPr>
        <w:numPr>
          <w:ilvl w:val="2"/>
          <w:numId w:val="3"/>
        </w:numPr>
        <w:ind w:left="1276" w:hanging="709"/>
        <w:rPr>
          <w:rFonts w:cs="Calibri"/>
          <w:sz w:val="22"/>
          <w:szCs w:val="24"/>
        </w:rPr>
      </w:pPr>
      <w:r>
        <w:rPr>
          <w:rFonts w:cs="Calibri"/>
          <w:sz w:val="22"/>
          <w:szCs w:val="24"/>
        </w:rPr>
        <w:t>druhá smluvní strana neplní hrubě podmínky smlouvy, byla na tuto skutečnost upozorněna, nesjednala nápravu ani v dodatečně poskytnuté přiměřené lhůtě</w:t>
      </w:r>
    </w:p>
    <w:p>
      <w:pPr>
        <w:numPr>
          <w:ilvl w:val="2"/>
          <w:numId w:val="3"/>
        </w:numPr>
        <w:ind w:left="1276" w:hanging="709"/>
        <w:rPr>
          <w:rFonts w:cs="Calibri"/>
          <w:sz w:val="22"/>
          <w:szCs w:val="24"/>
        </w:rPr>
      </w:pPr>
      <w:r>
        <w:rPr>
          <w:rFonts w:cs="Calibri"/>
          <w:sz w:val="22"/>
          <w:szCs w:val="24"/>
        </w:rPr>
        <w:t>Poskytovatel je v úpadku nebo ztratil oprávnění k podnikatelské činnosti podle platných předpisů. Tuto skutečnost je Poskytovatel povinen neprodleně oznámit Nabyvateli, a to emailem adresovaným oprávněným osobám Nabyvatele uvedených v odst. 8.4.</w:t>
      </w:r>
    </w:p>
    <w:p>
      <w:pPr>
        <w:numPr>
          <w:ilvl w:val="2"/>
          <w:numId w:val="3"/>
        </w:numPr>
        <w:ind w:left="1276" w:hanging="709"/>
        <w:rPr>
          <w:rFonts w:cs="Calibri"/>
          <w:sz w:val="22"/>
          <w:szCs w:val="24"/>
        </w:rPr>
      </w:pPr>
      <w:r>
        <w:rPr>
          <w:rFonts w:cs="Calibri"/>
          <w:sz w:val="22"/>
          <w:szCs w:val="24"/>
        </w:rPr>
        <w:t>na majetek Poskytovatele byly zahájeny úkony, které nasvědčují zahájení exekučního řízení. Tuto skutečnost je Poskytovatel povinen neprodleně oznámit Nabyvateli, a to emailem adresovaným oprávněným osobám Nabyvatele uvedených v odst. 8.4.</w:t>
      </w:r>
    </w:p>
    <w:p>
      <w:pPr>
        <w:numPr>
          <w:ilvl w:val="0"/>
          <w:numId w:val="3"/>
        </w:numPr>
        <w:spacing w:before="360" w:after="240"/>
        <w:ind w:left="567" w:hanging="567"/>
        <w:jc w:val="center"/>
        <w:rPr>
          <w:rFonts w:cs="Calibri"/>
          <w:b/>
          <w:szCs w:val="32"/>
        </w:rPr>
      </w:pPr>
      <w:r>
        <w:rPr>
          <w:rFonts w:cs="Calibri"/>
          <w:b/>
          <w:szCs w:val="32"/>
        </w:rPr>
        <w:t>Závěrečná ustanovení</w:t>
      </w:r>
    </w:p>
    <w:p>
      <w:pPr>
        <w:numPr>
          <w:ilvl w:val="1"/>
          <w:numId w:val="3"/>
        </w:numPr>
        <w:ind w:left="567" w:hanging="567"/>
        <w:rPr>
          <w:rFonts w:cs="Calibri"/>
          <w:sz w:val="22"/>
          <w:szCs w:val="24"/>
        </w:rPr>
      </w:pPr>
      <w:r>
        <w:rPr>
          <w:rFonts w:cs="Calibri"/>
          <w:sz w:val="22"/>
          <w:szCs w:val="24"/>
        </w:rPr>
        <w:t>Vztahy mezi stranami se řídí ustanoveními této Smlouvy a občanským zákoníkem. V částech vztahujících se k udělení práva užití programů splňujících znaky autorského díla se použije režim autorského zákona. Pro případ, že by některé ustanovení této Smlouvy bylo v rozporu s právními předpisy zakotvujícími ochranu práv spotřebitele, pak se takové ustanovení této Smlouvy pro právní vztah definovaný touto Smlouvou nepoužije a bude aplikován příslušný právní předpis.</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Požadavky na změny předmětu plnění, které mají vliv na cenu plnění nebo termíny plnění včetně dílčích, jakožto změny obsahu této Smlouvy mohou být provedeny pouze formou vzestupně číslovaných dodatků po dohodě obou smluvních stran. Dodatky se následně stanou nedílnou součástí této Smlouvy.</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Smlouva a příp. dodatky této Smlouvy budou podepsány elektronicky, čili budou opatřeny platnými kvalifikovanými certifikáty jednajícími zástupci stran uvedenými v čl. 1.</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Uveřejnění Smlouvy v registru smluv dle zákona o registru smluv č. 340/2015 Sb. zajistí Nabyvatel.</w:t>
      </w:r>
    </w:p>
    <w:p>
      <w:pPr>
        <w:ind w:left="567"/>
        <w:rPr>
          <w:rFonts w:cs="Calibri"/>
          <w:sz w:val="22"/>
          <w:szCs w:val="24"/>
        </w:rPr>
      </w:pPr>
    </w:p>
    <w:p>
      <w:pPr>
        <w:numPr>
          <w:ilvl w:val="1"/>
          <w:numId w:val="3"/>
        </w:numPr>
        <w:ind w:left="567" w:hanging="567"/>
        <w:rPr>
          <w:rFonts w:cs="Calibri"/>
          <w:sz w:val="22"/>
          <w:szCs w:val="24"/>
        </w:rPr>
      </w:pPr>
      <w:r>
        <w:rPr>
          <w:rFonts w:cs="Calibri"/>
          <w:sz w:val="22"/>
          <w:szCs w:val="24"/>
        </w:rPr>
        <w:t>Nedílnou součástí této Smlouvy je Příloha č. 1.</w:t>
      </w:r>
    </w:p>
    <w:p>
      <w:pPr>
        <w:rPr>
          <w:rFonts w:cs="Calibri"/>
          <w:sz w:val="22"/>
          <w:szCs w:val="24"/>
        </w:rPr>
      </w:pPr>
    </w:p>
    <w:p>
      <w:pPr>
        <w:tabs>
          <w:tab w:val="center" w:pos="1980"/>
          <w:tab w:val="center" w:pos="7020"/>
        </w:tabs>
        <w:rPr>
          <w:rFonts w:cs="Calibri"/>
          <w:sz w:val="22"/>
          <w:szCs w:val="24"/>
        </w:rPr>
      </w:pPr>
      <w:r>
        <w:rPr>
          <w:rFonts w:cs="Calibri"/>
          <w:sz w:val="22"/>
          <w:szCs w:val="24"/>
        </w:rPr>
        <w:tab/>
      </w:r>
    </w:p>
    <w:p>
      <w:pPr>
        <w:tabs>
          <w:tab w:val="center" w:pos="1980"/>
          <w:tab w:val="center" w:pos="7020"/>
        </w:tabs>
        <w:rPr>
          <w:rFonts w:cs="Calibri"/>
          <w:sz w:val="22"/>
          <w:szCs w:val="24"/>
        </w:rPr>
      </w:pPr>
      <w:r>
        <w:rPr>
          <w:rFonts w:cs="Calibri"/>
          <w:sz w:val="22"/>
          <w:szCs w:val="24"/>
        </w:rPr>
        <w:t>V Ostravě dne …………..</w:t>
      </w:r>
      <w:r>
        <w:rPr>
          <w:rFonts w:cs="Calibri"/>
          <w:sz w:val="22"/>
          <w:szCs w:val="24"/>
        </w:rPr>
        <w:tab/>
        <w:t xml:space="preserve">V ............... dne ………….. </w:t>
      </w:r>
    </w:p>
    <w:p>
      <w:pPr>
        <w:tabs>
          <w:tab w:val="center" w:pos="1980"/>
          <w:tab w:val="center" w:pos="7020"/>
        </w:tabs>
        <w:rPr>
          <w:rFonts w:cs="Calibri"/>
          <w:sz w:val="22"/>
          <w:szCs w:val="24"/>
        </w:rPr>
      </w:pPr>
    </w:p>
    <w:p>
      <w:pPr>
        <w:tabs>
          <w:tab w:val="center" w:pos="1980"/>
          <w:tab w:val="center" w:pos="7020"/>
        </w:tabs>
        <w:rPr>
          <w:rFonts w:cs="Calibri"/>
          <w:sz w:val="22"/>
          <w:szCs w:val="24"/>
        </w:rPr>
      </w:pPr>
    </w:p>
    <w:p>
      <w:pPr>
        <w:tabs>
          <w:tab w:val="center" w:pos="1980"/>
          <w:tab w:val="center" w:pos="7020"/>
        </w:tabs>
        <w:rPr>
          <w:rFonts w:cs="Calibri"/>
          <w:sz w:val="22"/>
          <w:szCs w:val="24"/>
        </w:rPr>
      </w:pPr>
    </w:p>
    <w:p>
      <w:pPr>
        <w:tabs>
          <w:tab w:val="center" w:pos="1980"/>
          <w:tab w:val="center" w:pos="7020"/>
        </w:tabs>
        <w:rPr>
          <w:rFonts w:cs="Calibri"/>
          <w:sz w:val="22"/>
          <w:szCs w:val="24"/>
        </w:rPr>
      </w:pPr>
    </w:p>
    <w:p>
      <w:pPr>
        <w:tabs>
          <w:tab w:val="center" w:pos="1980"/>
          <w:tab w:val="center" w:pos="7020"/>
        </w:tabs>
        <w:jc w:val="left"/>
        <w:rPr>
          <w:rFonts w:cs="Calibri"/>
          <w:sz w:val="22"/>
          <w:szCs w:val="24"/>
        </w:rPr>
      </w:pPr>
      <w:r>
        <w:rPr>
          <w:rFonts w:cs="Calibri"/>
          <w:sz w:val="22"/>
          <w:szCs w:val="24"/>
        </w:rPr>
        <w:t xml:space="preserve">______________________ </w:t>
      </w:r>
      <w:r>
        <w:rPr>
          <w:rFonts w:cs="Calibri"/>
          <w:sz w:val="22"/>
          <w:szCs w:val="24"/>
        </w:rPr>
        <w:tab/>
        <w:t>_______________________</w:t>
      </w:r>
    </w:p>
    <w:p>
      <w:pPr>
        <w:tabs>
          <w:tab w:val="center" w:pos="1980"/>
          <w:tab w:val="center" w:pos="7020"/>
        </w:tabs>
        <w:jc w:val="left"/>
        <w:rPr>
          <w:rFonts w:cs="Calibri"/>
          <w:sz w:val="22"/>
          <w:szCs w:val="24"/>
        </w:rPr>
      </w:pPr>
      <w:r>
        <w:rPr>
          <w:rFonts w:cs="Calibri"/>
          <w:sz w:val="22"/>
          <w:szCs w:val="24"/>
        </w:rPr>
        <w:t xml:space="preserve">       za Poskytovatele</w:t>
      </w:r>
      <w:r>
        <w:rPr>
          <w:rFonts w:cs="Calibri"/>
          <w:sz w:val="22"/>
          <w:szCs w:val="24"/>
        </w:rPr>
        <w:tab/>
      </w:r>
      <w:r>
        <w:rPr>
          <w:rFonts w:cs="Calibri"/>
          <w:sz w:val="22"/>
          <w:szCs w:val="24"/>
        </w:rPr>
        <w:tab/>
        <w:t>za Nabyvatele</w:t>
      </w:r>
      <w:r>
        <w:rPr>
          <w:rFonts w:cs="Calibri"/>
          <w:sz w:val="22"/>
          <w:szCs w:val="24"/>
        </w:rPr>
        <w:tab/>
      </w:r>
    </w:p>
    <w:p>
      <w:pPr>
        <w:tabs>
          <w:tab w:val="center" w:pos="1980"/>
          <w:tab w:val="center" w:pos="7020"/>
        </w:tabs>
        <w:jc w:val="left"/>
        <w:rPr>
          <w:rFonts w:cs="Calibri"/>
          <w:sz w:val="22"/>
          <w:szCs w:val="24"/>
        </w:rPr>
      </w:pPr>
      <w:r>
        <w:rPr>
          <w:rFonts w:cs="Calibri"/>
          <w:sz w:val="22"/>
          <w:szCs w:val="24"/>
        </w:rPr>
        <w:t>Bc. Vladimír Vybíral, MBA</w:t>
      </w:r>
      <w:r>
        <w:rPr>
          <w:rFonts w:cs="Calibri"/>
          <w:sz w:val="22"/>
          <w:szCs w:val="24"/>
        </w:rPr>
        <w:tab/>
        <w:t>Bc. Martin Henč, 2. místostarosta</w:t>
      </w:r>
    </w:p>
    <w:p>
      <w:pPr>
        <w:tabs>
          <w:tab w:val="center" w:pos="1980"/>
          <w:tab w:val="center" w:pos="7020"/>
        </w:tabs>
        <w:jc w:val="left"/>
        <w:rPr>
          <w:rFonts w:cs="Calibri"/>
          <w:sz w:val="22"/>
          <w:szCs w:val="24"/>
        </w:rPr>
      </w:pPr>
      <w:r>
        <w:rPr>
          <w:rFonts w:cs="Calibri"/>
          <w:sz w:val="22"/>
          <w:szCs w:val="24"/>
        </w:rPr>
        <w:t xml:space="preserve">   na základě plné moci</w:t>
      </w:r>
    </w:p>
    <w:sectPr>
      <w:footerReference w:type="default" r:id="rId7"/>
      <w:pgSz w:w="11906" w:h="16838" w:code="9"/>
      <w:pgMar w:top="1134" w:right="1134" w:bottom="709"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173330"/>
      <w:docPartObj>
        <w:docPartGallery w:val="Page Numbers (Bottom of Page)"/>
        <w:docPartUnique/>
      </w:docPartObj>
    </w:sdtPr>
    <w:sdtEndPr>
      <w:rPr>
        <w:sz w:val="20"/>
      </w:rPr>
    </w:sdtEndPr>
    <w:sdtContent>
      <w:sdt>
        <w:sdtPr>
          <w:id w:val="1728636285"/>
          <w:docPartObj>
            <w:docPartGallery w:val="Page Numbers (Top of Page)"/>
            <w:docPartUnique/>
          </w:docPartObj>
        </w:sdtPr>
        <w:sdtEndPr>
          <w:rPr>
            <w:sz w:val="20"/>
          </w:rPr>
        </w:sdtEndPr>
        <w:sdtContent>
          <w:p>
            <w:pPr>
              <w:pStyle w:val="Zpat"/>
              <w:jc w:val="center"/>
              <w:rPr>
                <w:sz w:val="20"/>
              </w:rPr>
            </w:pPr>
            <w:r>
              <w:rPr>
                <w:sz w:val="20"/>
              </w:rPr>
              <w:t xml:space="preserve">Stránka </w:t>
            </w:r>
            <w:r>
              <w:rPr>
                <w:bCs/>
                <w:sz w:val="20"/>
              </w:rPr>
              <w:fldChar w:fldCharType="begin"/>
            </w:r>
            <w:r>
              <w:rPr>
                <w:bCs/>
                <w:sz w:val="20"/>
              </w:rPr>
              <w:instrText>PAGE</w:instrText>
            </w:r>
            <w:r>
              <w:rPr>
                <w:bCs/>
                <w:sz w:val="20"/>
              </w:rPr>
              <w:fldChar w:fldCharType="separate"/>
            </w:r>
            <w:r>
              <w:rPr>
                <w:bCs/>
                <w:noProof/>
                <w:sz w:val="20"/>
              </w:rPr>
              <w:t>1</w:t>
            </w:r>
            <w:r>
              <w:rPr>
                <w:bCs/>
                <w:sz w:val="20"/>
              </w:rPr>
              <w:fldChar w:fldCharType="end"/>
            </w:r>
            <w:r>
              <w:rPr>
                <w:sz w:val="20"/>
              </w:rPr>
              <w:t xml:space="preserve"> z </w:t>
            </w:r>
            <w:r>
              <w:rPr>
                <w:bCs/>
                <w:sz w:val="20"/>
              </w:rPr>
              <w:fldChar w:fldCharType="begin"/>
            </w:r>
            <w:r>
              <w:rPr>
                <w:bCs/>
                <w:sz w:val="20"/>
              </w:rPr>
              <w:instrText>NUMPAGES</w:instrText>
            </w:r>
            <w:r>
              <w:rPr>
                <w:bCs/>
                <w:sz w:val="20"/>
              </w:rPr>
              <w:fldChar w:fldCharType="separate"/>
            </w:r>
            <w:r>
              <w:rPr>
                <w:bCs/>
                <w:noProof/>
                <w:sz w:val="20"/>
              </w:rPr>
              <w:t>4</w:t>
            </w:r>
            <w:r>
              <w:rPr>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E4EED"/>
    <w:multiLevelType w:val="hybridMultilevel"/>
    <w:tmpl w:val="3412E600"/>
    <w:lvl w:ilvl="0" w:tplc="E70AEBA4">
      <w:start w:val="8"/>
      <w:numFmt w:val="bullet"/>
      <w:lvlText w:val="-"/>
      <w:lvlJc w:val="left"/>
      <w:pPr>
        <w:ind w:left="1287" w:hanging="360"/>
      </w:pPr>
      <w:rPr>
        <w:rFonts w:ascii="Calibri" w:eastAsia="Times New Roman"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314438F1"/>
    <w:multiLevelType w:val="hybridMultilevel"/>
    <w:tmpl w:val="D2F233B4"/>
    <w:lvl w:ilvl="0" w:tplc="3EA6E80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559334E5"/>
    <w:multiLevelType w:val="hybridMultilevel"/>
    <w:tmpl w:val="AF802CD0"/>
    <w:lvl w:ilvl="0" w:tplc="1CFC2EF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FA78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
    <w:pPr>
      <w:spacing w:after="0" w:line="240" w:lineRule="auto"/>
      <w:jc w:val="both"/>
    </w:pPr>
    <w:rPr>
      <w:rFonts w:ascii="Calibri" w:eastAsia="Times New Roman" w:hAnsi="Calibri"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style>
  <w:style w:type="character" w:customStyle="1" w:styleId="TextkomenteChar">
    <w:name w:val="Text komentáře Char"/>
    <w:basedOn w:val="Standardnpsmoodstavce"/>
    <w:link w:val="Textkomente"/>
    <w:semiHidden/>
    <w:rPr>
      <w:rFonts w:ascii="Calibri" w:eastAsia="Times New Roman" w:hAnsi="Calibri" w:cs="Times New Roman"/>
      <w:sz w:val="24"/>
      <w:szCs w:val="20"/>
      <w:lang w:eastAsia="cs-CZ"/>
    </w:rPr>
  </w:style>
  <w:style w:type="character" w:styleId="Hypertextovodkaz">
    <w:name w:val="Hyperlink"/>
    <w:basedOn w:val="Standardnpsmoodstavce"/>
    <w:uiPriority w:val="99"/>
    <w:rPr>
      <w:rFonts w:asciiTheme="minorHAnsi" w:hAnsiTheme="minorHAnsi"/>
      <w:color w:val="EE3123"/>
      <w:sz w:val="20"/>
      <w:u w:val="single"/>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Calibri" w:eastAsia="Times New Roman" w:hAnsi="Calibri" w:cs="Times New Roman"/>
      <w:sz w:val="24"/>
      <w:szCs w:val="20"/>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Calibri" w:eastAsia="Times New Roman" w:hAnsi="Calibri" w:cs="Times New Roman"/>
      <w:sz w:val="24"/>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sz w:val="20"/>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490">
      <w:bodyDiv w:val="1"/>
      <w:marLeft w:val="0"/>
      <w:marRight w:val="0"/>
      <w:marTop w:val="0"/>
      <w:marBottom w:val="0"/>
      <w:divBdr>
        <w:top w:val="none" w:sz="0" w:space="0" w:color="auto"/>
        <w:left w:val="none" w:sz="0" w:space="0" w:color="auto"/>
        <w:bottom w:val="none" w:sz="0" w:space="0" w:color="auto"/>
        <w:right w:val="none" w:sz="0" w:space="0" w:color="auto"/>
      </w:divBdr>
    </w:div>
    <w:div w:id="315450444">
      <w:bodyDiv w:val="1"/>
      <w:marLeft w:val="0"/>
      <w:marRight w:val="0"/>
      <w:marTop w:val="0"/>
      <w:marBottom w:val="0"/>
      <w:divBdr>
        <w:top w:val="none" w:sz="0" w:space="0" w:color="auto"/>
        <w:left w:val="none" w:sz="0" w:space="0" w:color="auto"/>
        <w:bottom w:val="none" w:sz="0" w:space="0" w:color="auto"/>
        <w:right w:val="none" w:sz="0" w:space="0" w:color="auto"/>
      </w:divBdr>
    </w:div>
    <w:div w:id="434326588">
      <w:bodyDiv w:val="1"/>
      <w:marLeft w:val="0"/>
      <w:marRight w:val="0"/>
      <w:marTop w:val="0"/>
      <w:marBottom w:val="0"/>
      <w:divBdr>
        <w:top w:val="none" w:sz="0" w:space="0" w:color="auto"/>
        <w:left w:val="none" w:sz="0" w:space="0" w:color="auto"/>
        <w:bottom w:val="none" w:sz="0" w:space="0" w:color="auto"/>
        <w:right w:val="none" w:sz="0" w:space="0" w:color="auto"/>
      </w:divBdr>
    </w:div>
    <w:div w:id="485628496">
      <w:bodyDiv w:val="1"/>
      <w:marLeft w:val="0"/>
      <w:marRight w:val="0"/>
      <w:marTop w:val="0"/>
      <w:marBottom w:val="0"/>
      <w:divBdr>
        <w:top w:val="none" w:sz="0" w:space="0" w:color="auto"/>
        <w:left w:val="none" w:sz="0" w:space="0" w:color="auto"/>
        <w:bottom w:val="none" w:sz="0" w:space="0" w:color="auto"/>
        <w:right w:val="none" w:sz="0" w:space="0" w:color="auto"/>
      </w:divBdr>
    </w:div>
    <w:div w:id="859127931">
      <w:bodyDiv w:val="1"/>
      <w:marLeft w:val="0"/>
      <w:marRight w:val="0"/>
      <w:marTop w:val="0"/>
      <w:marBottom w:val="0"/>
      <w:divBdr>
        <w:top w:val="none" w:sz="0" w:space="0" w:color="auto"/>
        <w:left w:val="none" w:sz="0" w:space="0" w:color="auto"/>
        <w:bottom w:val="none" w:sz="0" w:space="0" w:color="auto"/>
        <w:right w:val="none" w:sz="0" w:space="0" w:color="auto"/>
      </w:divBdr>
    </w:div>
    <w:div w:id="1380473475">
      <w:bodyDiv w:val="1"/>
      <w:marLeft w:val="0"/>
      <w:marRight w:val="0"/>
      <w:marTop w:val="0"/>
      <w:marBottom w:val="0"/>
      <w:divBdr>
        <w:top w:val="none" w:sz="0" w:space="0" w:color="auto"/>
        <w:left w:val="none" w:sz="0" w:space="0" w:color="auto"/>
        <w:bottom w:val="none" w:sz="0" w:space="0" w:color="auto"/>
        <w:right w:val="none" w:sz="0" w:space="0" w:color="auto"/>
      </w:divBdr>
    </w:div>
    <w:div w:id="19090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8272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2021-12-02T08:35:00Z</dcterms:created>
  <dcterms:modified xsi:type="dcterms:W3CDTF">2021-12-09T13:57:00Z</dcterms:modified>
</cp:coreProperties>
</file>