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D2" w:rsidRDefault="006957D2">
      <w:pPr>
        <w:pStyle w:val="Jin0"/>
        <w:shd w:val="clear" w:color="auto" w:fill="auto"/>
        <w:spacing w:after="120"/>
        <w:jc w:val="right"/>
      </w:pPr>
      <w:bookmarkStart w:id="0" w:name="_GoBack"/>
      <w:bookmarkEnd w:id="0"/>
    </w:p>
    <w:p w:rsidR="006957D2" w:rsidRDefault="008C5F5C">
      <w:pPr>
        <w:spacing w:line="1" w:lineRule="exact"/>
      </w:pPr>
      <w:r>
        <w:rPr>
          <w:noProof/>
          <w:lang w:bidi="ar-SA"/>
        </w:rPr>
        <w:lastRenderedPageBreak/>
        <w:drawing>
          <wp:anchor distT="59690" distB="478790" distL="0" distR="0" simplePos="0" relativeHeight="125829429" behindDoc="0" locked="0" layoutInCell="1" allowOverlap="1">
            <wp:simplePos x="0" y="0"/>
            <wp:positionH relativeFrom="page">
              <wp:posOffset>786130</wp:posOffset>
            </wp:positionH>
            <wp:positionV relativeFrom="paragraph">
              <wp:posOffset>59690</wp:posOffset>
            </wp:positionV>
            <wp:extent cx="280670" cy="152400"/>
            <wp:effectExtent l="0" t="0" r="0" b="0"/>
            <wp:wrapTopAndBottom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8067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540" distB="362585" distL="0" distR="0" simplePos="0" relativeHeight="125829430" behindDoc="0" locked="0" layoutInCell="1" allowOverlap="1">
                <wp:simplePos x="0" y="0"/>
                <wp:positionH relativeFrom="page">
                  <wp:posOffset>1983740</wp:posOffset>
                </wp:positionH>
                <wp:positionV relativeFrom="paragraph">
                  <wp:posOffset>2540</wp:posOffset>
                </wp:positionV>
                <wp:extent cx="2793365" cy="32448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57D2" w:rsidRDefault="008C5F5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 xml:space="preserve">EverMAX s.r.o.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9" o:spid="_x0000_s1026" type="#_x0000_t202" style="position:absolute;margin-left:156.2pt;margin-top:.2pt;width:219.95pt;height:25.55pt;z-index:125829430;visibility:visible;mso-wrap-style:square;mso-wrap-distance-left:0;mso-wrap-distance-top:.2pt;mso-wrap-distance-right:0;mso-wrap-distance-bottom:2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" filled="f" stroked="f">
                <v:textbox inset="0,0,0,0">
                  <w:txbxContent>
                    <w:p w:rsidR="006957D2" w:rsidRDefault="008C5F5C">
                      <w:pPr>
                        <w:pStyle w:val="Jin0"/>
                        <w:shd w:val="clear" w:color="auto" w:fill="auto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 xml:space="preserve">EverMAX s.r.o.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4610" distB="113665" distL="0" distR="0" simplePos="0" relativeHeight="125829436" behindDoc="0" locked="0" layoutInCell="1" allowOverlap="1">
            <wp:simplePos x="0" y="0"/>
            <wp:positionH relativeFrom="page">
              <wp:posOffset>6498590</wp:posOffset>
            </wp:positionH>
            <wp:positionV relativeFrom="paragraph">
              <wp:posOffset>54610</wp:posOffset>
            </wp:positionV>
            <wp:extent cx="506095" cy="524510"/>
            <wp:effectExtent l="0" t="0" r="0" b="0"/>
            <wp:wrapTopAndBottom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609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7D2" w:rsidRDefault="008C5F5C">
      <w:pPr>
        <w:pStyle w:val="Nadpis10"/>
        <w:keepNext/>
        <w:keepLines/>
        <w:shd w:val="clear" w:color="auto" w:fill="auto"/>
      </w:pPr>
      <w:bookmarkStart w:id="1" w:name="bookmark6"/>
      <w:bookmarkStart w:id="2" w:name="bookmark7"/>
      <w:r>
        <w:t>Nabídka č. NV410168</w:t>
      </w:r>
      <w:bookmarkEnd w:id="1"/>
      <w:bookmarkEnd w:id="2"/>
    </w:p>
    <w:p w:rsidR="006957D2" w:rsidRDefault="008C5F5C">
      <w:pPr>
        <w:pStyle w:val="Zkladntext1"/>
        <w:shd w:val="clear" w:color="auto" w:fill="auto"/>
        <w:tabs>
          <w:tab w:val="left" w:pos="1368"/>
        </w:tabs>
      </w:pPr>
      <w:r>
        <w:t>Odběratel:</w:t>
      </w:r>
      <w:r>
        <w:tab/>
        <w:t>ČVUT UTEF</w:t>
      </w:r>
    </w:p>
    <w:p w:rsidR="006957D2" w:rsidRDefault="008C5F5C">
      <w:pPr>
        <w:pStyle w:val="Titulektabulky0"/>
        <w:shd w:val="clear" w:color="auto" w:fill="auto"/>
      </w:pPr>
      <w:r>
        <w:t>Na základě Vaší poptávky Vám nabízíme: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3589"/>
        <w:gridCol w:w="1858"/>
        <w:gridCol w:w="1735"/>
      </w:tblGrid>
      <w:tr w:rsidR="006957D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</w:pPr>
            <w:r>
              <w:rPr>
                <w:rFonts w:ascii="Verdana" w:eastAsia="Verdana" w:hAnsi="Verdana" w:cs="Verdana"/>
                <w:b/>
                <w:bCs/>
              </w:rPr>
              <w:t>Název DPS: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left="1080"/>
            </w:pPr>
            <w:r>
              <w:rPr>
                <w:rFonts w:ascii="Verdana" w:eastAsia="Verdana" w:hAnsi="Verdana" w:cs="Verdana"/>
                <w:b/>
                <w:bCs/>
              </w:rPr>
              <w:t>FADC v5</w:t>
            </w:r>
          </w:p>
        </w:tc>
      </w:tr>
      <w:tr w:rsidR="006957D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7D2" w:rsidRDefault="006957D2">
            <w:pPr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right="540"/>
              <w:jc w:val="right"/>
            </w:pPr>
            <w:r>
              <w:rPr>
                <w:rFonts w:ascii="Verdana" w:eastAsia="Verdana" w:hAnsi="Verdana" w:cs="Verdana"/>
                <w:b/>
                <w:bCs/>
              </w:rPr>
              <w:t>ks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right="260"/>
              <w:jc w:val="right"/>
            </w:pPr>
            <w:r>
              <w:rPr>
                <w:rFonts w:ascii="Verdana" w:eastAsia="Verdana" w:hAnsi="Verdana" w:cs="Verdana"/>
                <w:b/>
                <w:bCs/>
              </w:rPr>
              <w:t>Cena / ks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jc w:val="right"/>
            </w:pPr>
            <w:r>
              <w:rPr>
                <w:rFonts w:ascii="Verdana" w:eastAsia="Verdana" w:hAnsi="Verdana" w:cs="Verdana"/>
                <w:b/>
                <w:bCs/>
              </w:rPr>
              <w:t xml:space="preserve">Cena </w:t>
            </w:r>
            <w:r>
              <w:rPr>
                <w:rFonts w:ascii="Verdana" w:eastAsia="Verdana" w:hAnsi="Verdana" w:cs="Verdana"/>
                <w:b/>
                <w:bCs/>
              </w:rPr>
              <w:t>celkem</w:t>
            </w:r>
          </w:p>
        </w:tc>
      </w:tr>
      <w:tr w:rsidR="006957D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Osazení SMD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left="2820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32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firstLine="780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182,36 Kč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5 835,52 Kč</w:t>
            </w:r>
          </w:p>
        </w:tc>
      </w:tr>
      <w:tr w:rsidR="006957D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Materiál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left="2820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32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firstLine="640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2 697,03 Kč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86 304,96 Kč</w:t>
            </w:r>
          </w:p>
        </w:tc>
      </w:tr>
      <w:tr w:rsidR="006957D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Výroba DPS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left="2820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32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firstLine="780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493,75 Kč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15 800,00 Kč</w:t>
            </w:r>
          </w:p>
        </w:tc>
      </w:tr>
      <w:tr w:rsidR="006957D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Příprava výroby</w:t>
            </w:r>
          </w:p>
        </w:tc>
        <w:tc>
          <w:tcPr>
            <w:tcW w:w="35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right="540"/>
              <w:jc w:val="right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firstLine="640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2 080,00 Kč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>2 080,00 Kč</w:t>
            </w:r>
          </w:p>
        </w:tc>
      </w:tr>
      <w:tr w:rsidR="006957D2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</w:pPr>
            <w:r>
              <w:rPr>
                <w:rFonts w:ascii="Verdana" w:eastAsia="Verdana" w:hAnsi="Verdana" w:cs="Verdana"/>
                <w:b/>
                <w:bCs/>
              </w:rPr>
              <w:t>Cena celkem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57D2" w:rsidRDefault="006957D2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57D2" w:rsidRDefault="006957D2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7D2" w:rsidRDefault="008C5F5C">
            <w:pPr>
              <w:pStyle w:val="Jin0"/>
              <w:shd w:val="clear" w:color="auto" w:fill="auto"/>
              <w:jc w:val="right"/>
            </w:pPr>
            <w:r>
              <w:rPr>
                <w:rFonts w:ascii="Verdana" w:eastAsia="Verdana" w:hAnsi="Verdana" w:cs="Verdana"/>
                <w:b/>
                <w:bCs/>
              </w:rPr>
              <w:t>110 020,48</w:t>
            </w:r>
          </w:p>
        </w:tc>
      </w:tr>
    </w:tbl>
    <w:p w:rsidR="006957D2" w:rsidRDefault="008C5F5C">
      <w:pPr>
        <w:pStyle w:val="Titulektabulky0"/>
        <w:shd w:val="clear" w:color="auto" w:fill="auto"/>
      </w:pPr>
      <w:r>
        <w:t>'Příprava výroby' se účtuje při každé vyráběné sérii.</w:t>
      </w:r>
    </w:p>
    <w:p w:rsidR="006957D2" w:rsidRDefault="006957D2">
      <w:pPr>
        <w:spacing w:after="179" w:line="1" w:lineRule="exact"/>
      </w:pPr>
    </w:p>
    <w:p w:rsidR="006957D2" w:rsidRDefault="008C5F5C">
      <w:pPr>
        <w:pStyle w:val="Zkladntext1"/>
        <w:shd w:val="clear" w:color="auto" w:fill="auto"/>
      </w:pPr>
      <w:r>
        <w:t>Standardně</w:t>
      </w:r>
      <w:r>
        <w:t xml:space="preserve"> provádíme automatové osazení SMD součástek a ruční pájení vývodových součástek. Při výrobě používáme bezoplachová tavidla a osazené DPS nemyjeme.</w:t>
      </w:r>
    </w:p>
    <w:p w:rsidR="006957D2" w:rsidRDefault="008C5F5C">
      <w:pPr>
        <w:pStyle w:val="Zkladntext1"/>
        <w:shd w:val="clear" w:color="auto" w:fill="auto"/>
      </w:pPr>
      <w:r>
        <w:t>Cena osazení SMD je kalkulována dle dodaných podkladů a platí při dodržení našich technologických požadavků.</w:t>
      </w:r>
    </w:p>
    <w:p w:rsidR="006957D2" w:rsidRDefault="008C5F5C">
      <w:pPr>
        <w:pStyle w:val="Zkladntext1"/>
        <w:shd w:val="clear" w:color="auto" w:fill="auto"/>
      </w:pPr>
      <w:r>
        <w:t>Cena materiálu neobsahuje položky SPX3819M5-L/TR, CLLE1AX7S0G475M050AC a XC6SLX9-2TQG144C, které aktuálně nejsou dostupné od žádného z našich dodavatelů. V případě potřeby bychom je měli umět zajistit z přeprodeje, ale cena by byla značně vyšší.</w:t>
      </w:r>
    </w:p>
    <w:p w:rsidR="006957D2" w:rsidRDefault="008C5F5C">
      <w:pPr>
        <w:pStyle w:val="Zkladntext1"/>
        <w:shd w:val="clear" w:color="auto" w:fill="auto"/>
      </w:pPr>
      <w:r>
        <w:t xml:space="preserve">Uvedené </w:t>
      </w:r>
      <w:r>
        <w:t>ceny jsou bez DPH EXW EverMAX s.r.o.</w:t>
      </w:r>
    </w:p>
    <w:p w:rsidR="006957D2" w:rsidRDefault="008C5F5C">
      <w:pPr>
        <w:pStyle w:val="Zkladntext1"/>
        <w:shd w:val="clear" w:color="auto" w:fill="auto"/>
      </w:pPr>
      <w:r>
        <w:t>Platnost nabídky je 7 dnů, ceny dodávaného materiálu platí s výhradou meziprodeje.</w:t>
      </w:r>
    </w:p>
    <w:p w:rsidR="006957D2" w:rsidRDefault="008C5F5C">
      <w:pPr>
        <w:pStyle w:val="Zkladntext1"/>
        <w:shd w:val="clear" w:color="auto" w:fill="auto"/>
        <w:spacing w:after="360"/>
      </w:pPr>
      <w:r>
        <w:t>Termín dodání: 5-6 týdnů, v případě objednání před koncem roku je nutné počítat s prodloužením termínu o cca 2 týdny</w:t>
      </w:r>
    </w:p>
    <w:p w:rsidR="006957D2" w:rsidRDefault="008C5F5C">
      <w:pPr>
        <w:pStyle w:val="Zkladntext1"/>
        <w:shd w:val="clear" w:color="auto" w:fill="auto"/>
      </w:pPr>
      <w:r>
        <w:t>Dne: 6. 12. 2021</w:t>
      </w:r>
    </w:p>
    <w:sectPr w:rsidR="006957D2">
      <w:pgSz w:w="11900" w:h="16840"/>
      <w:pgMar w:top="216" w:right="339" w:bottom="62" w:left="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5F5C">
      <w:r>
        <w:separator/>
      </w:r>
    </w:p>
  </w:endnote>
  <w:endnote w:type="continuationSeparator" w:id="0">
    <w:p w:rsidR="00000000" w:rsidRDefault="008C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D2" w:rsidRDefault="006957D2"/>
  </w:footnote>
  <w:footnote w:type="continuationSeparator" w:id="0">
    <w:p w:rsidR="006957D2" w:rsidRDefault="006957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2"/>
    <w:rsid w:val="006957D2"/>
    <w:rsid w:val="008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12D7F-612F-4DC0-86C9-AEEA07DD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40"/>
      <w:outlineLvl w:val="3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Verdana" w:eastAsia="Verdana" w:hAnsi="Verdana" w:cs="Verdan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2021-12-14T11:35:00Z</dcterms:created>
  <dcterms:modified xsi:type="dcterms:W3CDTF">2021-12-14T11:35:00Z</dcterms:modified>
</cp:coreProperties>
</file>