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15"/>
        </w:rPr>
        <w:t>lllllllllllllllllllllllll</w:t>
      </w:r>
      <w:bookmarkEnd w:id="0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2574290</wp:posOffset>
                </wp:positionH>
                <wp:positionV relativeFrom="paragraph">
                  <wp:posOffset>76200</wp:posOffset>
                </wp:positionV>
                <wp:extent cx="2362200" cy="21653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6220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RÁMCOVÁ PŘÍKAZNÍ SMLOUVA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2.70000000000002pt;margin-top:6.pt;width:186.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RÁMCOVÁ PŘÍKAZNÍ SMLOUVA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20"/>
        </w:rPr>
        <w:t>2021007990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rStyle w:val="CharStyle22"/>
        </w:rPr>
        <w:t>uzavřená v souladu s ustanovením § 2430 a násl. zákona č. 89/2012 Sb., občanský zákoník,</w:t>
        <w:br/>
        <w:t>mezi níže uvedenými smluvními stranami</w:t>
      </w:r>
      <w:bookmarkEnd w:id="2"/>
    </w:p>
    <w:tbl>
      <w:tblPr>
        <w:tblOverlap w:val="never"/>
        <w:jc w:val="left"/>
        <w:tblLayout w:type="fixed"/>
      </w:tblPr>
      <w:tblGrid>
        <w:gridCol w:w="2726"/>
        <w:gridCol w:w="6077"/>
      </w:tblGrid>
      <w:tr>
        <w:trPr>
          <w:trHeight w:val="5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MUDr. Hana Albrechtová, ředitelka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shd w:val="clear" w:color="auto" w:fill="000000"/>
              </w:rPr>
              <w:t>.....</w:t>
            </w:r>
            <w:r>
              <w:rPr>
                <w:rStyle w:val="CharStyle27"/>
                <w:spacing w:val="1"/>
                <w:shd w:val="clear" w:color="auto" w:fill="000000"/>
              </w:rPr>
              <w:t>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4"/>
                <w:shd w:val="clear" w:color="auto" w:fill="000000"/>
              </w:rPr>
              <w:t>.....</w:t>
            </w:r>
            <w:r>
              <w:rPr>
                <w:rStyle w:val="CharStyle27"/>
                <w:spacing w:val="5"/>
                <w:shd w:val="clear" w:color="auto" w:fill="000000"/>
              </w:rPr>
              <w:t>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1"/>
                <w:shd w:val="clear" w:color="auto" w:fill="000000"/>
              </w:rPr>
              <w:t>..........</w:t>
            </w:r>
            <w:r>
              <w:rPr>
                <w:rStyle w:val="CharStyle27"/>
                <w:spacing w:val="2"/>
                <w:shd w:val="clear" w:color="auto" w:fill="000000"/>
              </w:rPr>
              <w:t>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3"/>
                <w:shd w:val="clear" w:color="auto" w:fill="000000"/>
              </w:rPr>
              <w:t>.</w:t>
            </w:r>
            <w:r>
              <w:rPr>
                <w:rStyle w:val="CharStyle27"/>
                <w:spacing w:val="4"/>
                <w:shd w:val="clear" w:color="auto" w:fill="000000"/>
              </w:rPr>
              <w:t>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3"/>
                <w:shd w:val="clear" w:color="auto" w:fill="000000"/>
              </w:rPr>
              <w:t>.</w:t>
            </w:r>
            <w:r>
              <w:rPr>
                <w:rStyle w:val="CharStyle27"/>
                <w:spacing w:val="4"/>
                <w:shd w:val="clear" w:color="auto" w:fill="000000"/>
              </w:rPr>
              <w:t>.......</w:t>
            </w:r>
            <w:r>
              <w:rPr>
                <w:rStyle w:val="CharStyle27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7"/>
                <w:spacing w:val="12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7"/>
                <w:spacing w:val="13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7"/>
                <w:u w:val="single"/>
                <w:shd w:val="clear" w:color="auto" w:fill="000000"/>
                <w:lang w:val="en-US" w:eastAsia="en-US" w:bidi="en-US"/>
              </w:rPr>
              <w:t>....</w:t>
            </w:r>
            <w:r>
              <w:rPr>
                <w:rStyle w:val="CharStyle27"/>
                <w:spacing w:val="1"/>
                <w:u w:val="single"/>
                <w:shd w:val="clear" w:color="auto" w:fill="000000"/>
                <w:lang w:val="en-US" w:eastAsia="en-US" w:bidi="en-US"/>
              </w:rPr>
              <w:t>....</w:t>
            </w:r>
            <w:r>
              <w:rPr>
                <w:rStyle w:val="CharStyle27"/>
                <w:spacing w:val="10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7"/>
                <w:spacing w:val="11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7"/>
                <w:spacing w:val="2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CharStyle27"/>
                <w:spacing w:val="3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7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6"/>
                <w:shd w:val="clear" w:color="auto" w:fill="000000"/>
              </w:rPr>
              <w:t>...</w:t>
            </w:r>
            <w:r>
              <w:rPr>
                <w:rStyle w:val="CharStyle27"/>
                <w:spacing w:val="7"/>
                <w:shd w:val="clear" w:color="auto" w:fill="000000"/>
              </w:rPr>
              <w:t>...</w:t>
            </w:r>
            <w:r>
              <w:rPr>
                <w:rStyle w:val="CharStyle27"/>
                <w:shd w:val="clear" w:color="auto" w:fill="000000"/>
              </w:rPr>
              <w:t>​.</w:t>
            </w:r>
            <w:r>
              <w:rPr>
                <w:rStyle w:val="CharStyle27"/>
                <w:spacing w:val="1"/>
                <w:shd w:val="clear" w:color="auto" w:fill="000000"/>
              </w:rPr>
              <w:t>........</w:t>
            </w:r>
            <w:r>
              <w:rPr>
                <w:rStyle w:val="CharStyle27"/>
                <w:shd w:val="clear" w:color="auto" w:fill="000000"/>
              </w:rPr>
              <w:t>​....</w:t>
            </w:r>
            <w:r>
              <w:rPr>
                <w:rStyle w:val="CharStyle27"/>
                <w:spacing w:val="1"/>
                <w:shd w:val="clear" w:color="auto" w:fill="000000"/>
              </w:rPr>
              <w:t>...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6"/>
                <w:shd w:val="clear" w:color="auto" w:fill="000000"/>
              </w:rPr>
              <w:t>.....</w:t>
            </w:r>
            <w:r>
              <w:rPr>
                <w:rStyle w:val="CharStyle27"/>
                <w:spacing w:val="7"/>
                <w:shd w:val="clear" w:color="auto" w:fill="000000"/>
              </w:rPr>
              <w:t>.</w:t>
            </w:r>
            <w:r>
              <w:rPr>
                <w:rStyle w:val="CharStyle27"/>
                <w:shd w:val="clear" w:color="auto" w:fill="000000"/>
              </w:rPr>
              <w:t>​...</w:t>
            </w:r>
            <w:r>
              <w:rPr>
                <w:rStyle w:val="CharStyle27"/>
                <w:spacing w:val="1"/>
                <w:shd w:val="clear" w:color="auto" w:fill="000000"/>
              </w:rPr>
              <w:t>...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CZ00346292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Krajský soud v Brně sp. zn. Pr 1245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 xml:space="preserve">MONETA Money Bank, as, č. ú. </w:t>
            </w:r>
            <w:r>
              <w:rPr>
                <w:rStyle w:val="CharStyle27"/>
                <w:shd w:val="clear" w:color="auto" w:fill="000000"/>
              </w:rPr>
              <w:t>...........................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rStyle w:val="CharStyle24"/>
          <w:sz w:val="17"/>
          <w:szCs w:val="17"/>
        </w:rPr>
        <w:t xml:space="preserve">(dále jen </w:t>
      </w:r>
      <w:r>
        <w:rPr>
          <w:rStyle w:val="CharStyle24"/>
          <w:b/>
          <w:bCs/>
          <w:i/>
          <w:iCs/>
        </w:rPr>
        <w:t>„příkazce“</w:t>
      </w:r>
    </w:p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726"/>
        <w:gridCol w:w="6072"/>
      </w:tblGrid>
      <w:tr>
        <w:trPr>
          <w:trHeight w:val="6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a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Plus Tender, s. r. o.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Dostálova 97/5, Stránice, 602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Ing. Petr Kolář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spacing w:val="3"/>
                <w:shd w:val="clear" w:color="auto" w:fill="000000"/>
              </w:rPr>
              <w:t>........</w:t>
            </w:r>
            <w:r>
              <w:rPr>
                <w:rStyle w:val="CharStyle27"/>
                <w:spacing w:val="4"/>
                <w:shd w:val="clear" w:color="auto" w:fill="000000"/>
              </w:rPr>
              <w:t>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1"/>
                <w:shd w:val="clear" w:color="auto" w:fill="000000"/>
              </w:rPr>
              <w:t>...............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IČO: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DIČ: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08671401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CZ08671401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Krajský soud v Brně, oddíl C, vložka 11452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shd w:val="clear" w:color="auto" w:fill="000000"/>
              </w:rPr>
              <w:t>...............</w:t>
            </w:r>
            <w:r>
              <w:rPr>
                <w:rStyle w:val="CharStyle27"/>
                <w:spacing w:val="1"/>
                <w:shd w:val="clear" w:color="auto" w:fill="000000"/>
              </w:rPr>
              <w:t>..............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24"/>
          <w:sz w:val="17"/>
          <w:szCs w:val="17"/>
        </w:rPr>
        <w:t xml:space="preserve">(dále jen </w:t>
      </w:r>
      <w:r>
        <w:rPr>
          <w:rStyle w:val="CharStyle24"/>
          <w:b/>
          <w:bCs/>
          <w:i/>
          <w:iCs/>
        </w:rPr>
        <w:t>„příkazník“</w:t>
      </w:r>
    </w:p>
    <w:p>
      <w:pPr>
        <w:widowControl w:val="0"/>
        <w:spacing w:after="919" w:line="1" w:lineRule="exact"/>
      </w:pP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24" w:lineRule="auto"/>
        <w:ind w:left="420" w:right="0" w:hanging="420"/>
        <w:jc w:val="left"/>
      </w:pPr>
      <w:r>
        <w:rPr>
          <w:rStyle w:val="CharStyle5"/>
        </w:rPr>
        <w:t>Příkazník je fyzickou/právnickou osobou, oprávněnou na základě příslušného oprávnění k poskytováni služeb v oboru zadávání veřejných zakázek, a k činnostem s tím spojeným.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5"/>
        </w:rPr>
        <w:t>Příkazník se zavazuje v rámci svého oprávnění podle čl. 1 této smlouvy poskytovat příkaze! služby, spočívající v provádění všech činnosti spojených se zastupováním příkazce při zadávání jeho veřejných zakázek v souladu se zákonem č. 134/2016 Sb., o zadávání veřejných zakázek, ve znění pozdějších předpisů (dále jen „ZZVZ“), včetně plnění všech povinností, které v souvislosti s tímto zadáním vyplývají pro příkazce jako zadavatele ze zákona, resp. ze závazných podmínek poskytovatelů případných dotací na financování zakázek podle tohoto článku této smlouvy, resp. ze Směrnice zřizovatele č. 36/INA-VOK (Zásady vztahů orgánů Jihomoravského kraje k řízení příspěvkových organizací), nedohodnou-li se obě strany v jednotlivém případě jinak.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331" w:lineRule="auto"/>
        <w:ind w:left="0" w:right="0" w:firstLine="0"/>
        <w:jc w:val="left"/>
      </w:pPr>
      <w:r>
        <w:rPr>
          <w:rStyle w:val="CharStyle5"/>
        </w:rPr>
        <w:t>Součástí služby podle čl. 2 této smlouvy je zejména: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7" w:val="left"/>
        </w:tabs>
        <w:bidi w:val="0"/>
        <w:spacing w:before="0" w:after="0" w:line="331" w:lineRule="auto"/>
        <w:ind w:left="980" w:right="0" w:hanging="420"/>
        <w:jc w:val="both"/>
      </w:pPr>
      <w:r>
        <w:rPr>
          <w:rStyle w:val="CharStyle5"/>
        </w:rPr>
        <w:t>příprava a zpracování zadávací dokumentace pro účely zadání veřejných zakázek podle čl. 2 této smlouvy,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7" w:val="left"/>
        </w:tabs>
        <w:bidi w:val="0"/>
        <w:spacing w:before="0" w:after="0" w:line="331" w:lineRule="auto"/>
        <w:ind w:left="0" w:right="0" w:firstLine="560"/>
        <w:jc w:val="left"/>
      </w:pPr>
      <w:r>
        <w:rPr>
          <w:rStyle w:val="CharStyle5"/>
        </w:rPr>
        <w:t>zajištění zahájení zadávacího řízení,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7" w:val="left"/>
        </w:tabs>
        <w:bidi w:val="0"/>
        <w:spacing w:before="0" w:after="380" w:line="319" w:lineRule="auto"/>
        <w:ind w:left="980" w:right="0" w:hanging="420"/>
        <w:jc w:val="both"/>
      </w:pPr>
      <w:r>
        <w:rPr>
          <w:rStyle w:val="CharStyle5"/>
        </w:rPr>
        <w:t>organizace otevírání obálek s nabídkami, návrh posouzení kvalifikace, a návrh posouzení a vyhodnocení nabídek včetně zpracování návrhů příslušných zpráv a protokolů,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7" w:val="left"/>
        </w:tabs>
        <w:bidi w:val="0"/>
        <w:spacing w:before="0" w:after="0"/>
        <w:ind w:left="980" w:right="0" w:hanging="420"/>
        <w:jc w:val="both"/>
      </w:pPr>
      <w:r>
        <w:rPr>
          <w:rStyle w:val="CharStyle5"/>
        </w:rPr>
        <w:t>administrace zasedání komisí příkazce, včetně osobní účasti zaměstnance příkazníka na jednání komise a její vedení v souladu se zákonem a s pokyny příkazce (administrací podle tohoto článku této smlouvy není účast zaměstnance příkazníka na jednání komise jako člena této komise),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7" w:val="left"/>
        </w:tabs>
        <w:bidi w:val="0"/>
        <w:spacing w:before="0" w:after="0"/>
        <w:ind w:left="980" w:right="0" w:hanging="420"/>
        <w:jc w:val="both"/>
      </w:pPr>
      <w:r>
        <w:rPr>
          <w:rStyle w:val="CharStyle5"/>
        </w:rPr>
        <w:t>zastupování zadavatele ve vztahu k účastníkům zadávacího řízení, včetně přípravy, zpracování a poskytování vysvětlení zadávací dokumentace,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7" w:val="left"/>
        </w:tabs>
        <w:bidi w:val="0"/>
        <w:spacing w:before="0" w:after="0"/>
        <w:ind w:left="560" w:right="0" w:firstLine="0"/>
        <w:jc w:val="left"/>
      </w:pPr>
      <w:r>
        <w:rPr>
          <w:rStyle w:val="CharStyle5"/>
        </w:rPr>
        <w:t>poskytování konzultací příkazci ve věci zadání veřejné zakázky podle čl. 2 této smlouvy, g) plnění povinností zadavatele při uveřejňování jeho úkonů dle zákona č. 134/2016 Sb.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980"/>
        <w:jc w:val="left"/>
      </w:pPr>
      <w:r>
        <w:rPr>
          <w:rStyle w:val="CharStyle5"/>
        </w:rPr>
        <w:t>o zadávání veřejných zakázek citovaného zákona, a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87" w:val="left"/>
        </w:tabs>
        <w:bidi w:val="0"/>
        <w:spacing w:before="0"/>
        <w:ind w:left="980" w:right="0" w:hanging="420"/>
        <w:jc w:val="both"/>
      </w:pPr>
      <w:r>
        <w:rPr>
          <w:rStyle w:val="CharStyle5"/>
        </w:rPr>
        <w:t>výkon všech ostatních práv a plnění všech ostatních povinností příkazce, spojených se zadáním veřejných zakázek podle čl. 2 této smlouvy, vyplývajících pro příkazce jako zadavatele ze zákona, ze závazných podmínek poskytovatelů případných dotací na financování zakázek podle čl. 2 této smlouvy, resp. ze Směrnice zřizovatele č. 36/INA-VOK (Zásady vztahů orgánů Jihomoravského kraje k řízení příspěvkových organizací) a z pokynů příkazce.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Příkazník se zavazuje plnit svůj závazek k poskytování služeb podle čl. 1 této formou dílčích plnění, a to ve specifikaci, rozsahu a lhůtách dle jednotlivých dílčích příkazních smluv. Dílčí příkazní smlouva se přitom považuje za uzavřenou doručením jednotlivé písemné objednávky příkazce do rukou příkazníka, a to ve znění, daném objednávkou a touto rámcovou příkazní smlouvou. Písemná objednávka příkazce musí obsahovat alespoň specifikaci objednávané služby, lhůtu, datum a podpis příkazce.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24" w:lineRule="auto"/>
        <w:ind w:left="400" w:right="0" w:hanging="400"/>
        <w:jc w:val="both"/>
      </w:pPr>
      <w:r>
        <w:rPr>
          <w:rStyle w:val="CharStyle5"/>
        </w:rPr>
        <w:t>Příkazník se zavazuje plnit svoje závazky k příkazní činnosti podle jednotlivých dílčích příkazních smluv tak, aby příslušné zadávací řízení bylo zahájeno nejpozději ve lhůtě podle těchto dílčích příkazních smluv, a ostatní úkony zadavatele byly prováděny ve lhůtách dle pokynů příkazce, a nebude-li takové lhůty, pak ve lhůtě dle zákona, a nebude-li ani takové lhůty, bez zbytečného odkladu. Nedohodnou-li se obě strany v jednotlivém případě jinak, je místem plnění závazku příkazníka, vyplývajícího z příslušné dílčí příkazní smlouvy, sídlo příkazce dle záhlaví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Pro případ prodlení příkazníka s plněním jeho závazku podle této smlouvy a podle jednotlivých dílčích příkazních smluv ve lhůtách podle čl. 5 této smlouvy, se příkazník zavazuje platit příkazci smluvní pokutu ve výši 1 000,-Kč za každý započatý den tohoto prodlení. Tím není dotčeno právo příkazce na náhradu škody v plné výši.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Závazek příkazníka k příkazní činnosti podle této smlouvy se považuje v každém jednotlivém případě za splněný po faktickém provedení všech činností dle čl. 2 a čl. 3 této smlouvy, vyplývajících z příslušné dílčí příkazní smlouvy, prostých všech vad a nedodělků, a po řádném uveřejnění výsledků příslušného zadávacího řízení, dnem předání a převzetí tohoto závazku formou písemného předávacího protokolu, podepsaného oběma smluvními stranami. Přílohou tohoto protokolu musí být vždy kompletní dokumentace příslušného zadávacího řízení, včetně všech písemností, vzniklých v souvislosti s tímto zadávacím řízením, a včetně písemných dokladů osvědčujících splnění všech povinností zadavatele dle zákona, to vše opatřeno podpisy příslušných osob. Tato dokumentace musí být přitom uspořádána v technickém pořadači (šanonu), na titulním listu označeném identifikací veřejné zakázky, na druhém listu obsahem a dále chronologicky řazeném od nejmladších dokumentů po nejstarší dokumenty, vše oddílně zatříděné v plastových euroobalech, a současně také v elektronické podobě ve formátu PDF-A.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12" w:lineRule="auto"/>
        <w:ind w:left="400" w:right="0" w:hanging="400"/>
        <w:jc w:val="both"/>
      </w:pPr>
      <w:r>
        <w:rPr>
          <w:rStyle w:val="CharStyle5"/>
        </w:rPr>
        <w:t>Předáním a převzetím dokumentace příslušného zadávacího řízení podle čl. 7 této smlouvy nabývá příkazce tuto dokumentaci do svého výhradního vlastnictví.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19" w:lineRule="auto"/>
        <w:ind w:left="400" w:right="0" w:hanging="400"/>
        <w:jc w:val="both"/>
      </w:pPr>
      <w:r>
        <w:rPr>
          <w:rStyle w:val="CharStyle5"/>
        </w:rPr>
        <w:t>Při provádění příkazní činnosti podle této smlouvy a podle jednotlivých dílčích příkazních smluv se příkazník zavazuje postupovat podle pokynů příkazce a s potřebnou pečlivostí a odbornou péčí. Na pokyny a požadavky příkazce se přitom příkazník zavazuje reagovat ihned, v případě potřeby konzultace na místě se příkazník zavazuje dostavovat k příkazci k této konzultaci nejpozději do 3 pracovních dnů od doručení pokynu nebo požadavku příkazce, pokud nebude mezi smluvními stranami dohodnuto jinak, nebo bude-li to nutné z důvodu dodržení lhůt dle ZZVZ. Příkazník je povinen bez zbytečného odkladu oznamovat příkazci všechny okolnosti, které zjistil při plnění jeho povinností dle této smlouvy, a které mohou mít vliv na změnu pokynů nebo zájmů příkazce. Příkazník je dále povinen informovat příkazce o svém postupu ve všech případech, kdy o to bude příkazcem, zadavatelem požádán.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Příkazník se také zavazuje zachovávat mlčenlivost o všech skutečnostech, týkajících se poměrů příkazce a veřejných zakázek podle čl. 2 této smlouvy, s nimiž se při plnění povinností podle této smlouvy a jednotlivých dílčích příkazních smluv seznámí, a nesdělovat tyto skutečnosti bez souhlasu příkazce jiným osobám, včetně zástupců zřizovatele příkazce. Za porušení tohoto závazku příkazníka se také považuje i poskytnutí dokumentace podle čl. 7 této smlouvy nebo jakékoliv její části jiné osobě, včetně zástupce zřizovatele, bez předchozího písemného souhlasu příkazce. Za porušení tohoto ujednání se nepovažuje sdělování chráněných skutečností v nezbytném rozsahu v rámci plněni zákonem stanovené oznamovací povinnosti.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Pro případ porušení závazku příkazníka k mlčenlivosti podle čl. 10 této smlouvy se příkazník zavazuje platit příkazci smluvní pokutu ve výši 100.000,-Kč za každý zjištěný případ tohoto porušení.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19" w:lineRule="auto"/>
        <w:ind w:left="400" w:right="0" w:hanging="400"/>
        <w:jc w:val="both"/>
      </w:pPr>
      <w:r>
        <w:rPr>
          <w:rStyle w:val="CharStyle5"/>
        </w:rPr>
        <w:t>Příkazník se zavazuje bezplatně odstraňovat vady jeho příkazní činnosti podle této smlouvy a podle jednotlivých dílčích příkazních smluv, a to po celou dobu, po kterou to může mít pro příkazce ještě nějaký význam, a odčiňovat jejich škodlivé následky pro příkazce, a to ihned po jejich reklamaci ze strany příkazce.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24" w:lineRule="auto"/>
        <w:ind w:left="400" w:right="0" w:hanging="400"/>
        <w:jc w:val="both"/>
      </w:pPr>
      <w:r>
        <w:rPr>
          <w:rStyle w:val="CharStyle5"/>
        </w:rPr>
        <w:t>Pro případ sporu o oprávněnost reklamace vady podle čl. 12 této smlouvy si příkazce vyhrazuje právo nechat k posouzení tohoto sporu zpracovat soudně znalecký posudek s tím, že obě strany se zavazují tomuto posudku podřídit. Náklady na pořízení tohoto posudku se zavazuje nést ta ze smluvních stran, které posudek nedal zapravdu.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Příkazník odpovídá příkazci za škody, které mu vzniknou v příčinné souvislosti s porušením povinností příkazce podle obecně závazných právních předpisů a podle této smlouvy a podle jednotlivých dílčích příkazních smluv, nebo výpovědí příkazníka bez uvedení závažného důvodu v nevhodné době, a to podle příslušných obecných ustanovení občanského zákoníku o odpovědnosti za škodu.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Příkazce se zavazuje platit příkazníkovi za jeho příkazní činnost podle této smlouvy a podle jednotlivých dílčích příkazních smluv odměnu ve výši dle ceníku, který je přílohou č. 1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19" w:lineRule="auto"/>
        <w:ind w:left="400" w:right="0" w:hanging="400"/>
        <w:jc w:val="both"/>
      </w:pPr>
      <w:r>
        <w:rPr>
          <w:rStyle w:val="CharStyle5"/>
        </w:rPr>
        <w:t>Součástí odměny podle čl. 15 této smlouvy je náhrada všech nákladů, vynaložených příkazníkem v souvislosti s plněním jeho závazku podle této smlouvy a podle jednotlivých dílčích příkazních smluv.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14" w:lineRule="auto"/>
        <w:ind w:left="400" w:right="0" w:hanging="400"/>
        <w:jc w:val="both"/>
      </w:pPr>
      <w:r>
        <w:rPr>
          <w:rStyle w:val="CharStyle5"/>
        </w:rPr>
        <w:t xml:space="preserve">Odměna podle čl. 15 této smlouvy je splatná vždy jednorázově po splnění závazku příkazníka k provedení příkazní činnosti dle jednotlivé dílčí příkazní smlouvy způsobem podle čl 7 této smlouvy, a to ve lhůtě do 30 dnů od doručení jejího písemného vyúčtování (faktury/daňového dokladu) ze strany příkazníka Faktura bude doručena elektronicky na email: </w:t>
      </w:r>
      <w:r>
        <w:rPr>
          <w:rStyle w:val="CharStyle5"/>
          <w:u w:val="single"/>
          <w:shd w:val="clear" w:color="auto" w:fill="000000"/>
          <w:lang w:val="en-US" w:eastAsia="en-US" w:bidi="en-US"/>
        </w:rPr>
        <w:t>​....................</w:t>
      </w:r>
      <w:r>
        <w:rPr>
          <w:rStyle w:val="CharStyle5"/>
          <w:spacing w:val="1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CharStyle5"/>
          <w:shd w:val="clear" w:color="auto" w:fill="000000"/>
          <w:lang w:val="en-US" w:eastAsia="en-US" w:bidi="en-US"/>
        </w:rPr>
        <w:t>.</w:t>
      </w:r>
      <w:r>
        <w:rPr>
          <w:rStyle w:val="CharStyle5"/>
          <w:shd w:val="clear" w:color="auto" w:fill="000000"/>
        </w:rPr>
        <w:t>​..</w:t>
      </w:r>
      <w:r>
        <w:rPr>
          <w:rStyle w:val="CharStyle5"/>
          <w:spacing w:val="1"/>
          <w:shd w:val="clear" w:color="auto" w:fill="000000"/>
        </w:rPr>
        <w:t>.</w:t>
      </w:r>
      <w:r>
        <w:rPr>
          <w:rStyle w:val="CharStyle5"/>
          <w:u w:val="single"/>
          <w:shd w:val="clear" w:color="auto" w:fill="000000"/>
        </w:rPr>
        <w:t>​</w:t>
      </w:r>
      <w:r>
        <w:rPr>
          <w:rStyle w:val="CharStyle5"/>
          <w:spacing w:val="3"/>
          <w:u w:val="single"/>
          <w:shd w:val="clear" w:color="auto" w:fill="000000"/>
        </w:rPr>
        <w:t>..</w:t>
      </w:r>
      <w:r>
        <w:rPr>
          <w:rStyle w:val="CharStyle5"/>
          <w:spacing w:val="4"/>
          <w:u w:val="single"/>
          <w:shd w:val="clear" w:color="auto" w:fill="000000"/>
        </w:rPr>
        <w:t>.........</w:t>
      </w:r>
      <w:r>
        <w:rPr>
          <w:rStyle w:val="CharStyle5"/>
          <w:u w:val="single"/>
          <w:shd w:val="clear" w:color="auto" w:fill="000000"/>
        </w:rPr>
        <w:t>​</w:t>
      </w:r>
      <w:r>
        <w:rPr>
          <w:rStyle w:val="CharStyle5"/>
          <w:spacing w:val="5"/>
          <w:u w:val="single"/>
          <w:shd w:val="clear" w:color="auto" w:fill="000000"/>
        </w:rPr>
        <w:t>...</w:t>
      </w:r>
      <w:r>
        <w:rPr>
          <w:rStyle w:val="CharStyle5"/>
          <w:spacing w:val="6"/>
          <w:u w:val="single"/>
          <w:shd w:val="clear" w:color="auto" w:fill="000000"/>
        </w:rPr>
        <w:t>.</w:t>
      </w:r>
      <w:r>
        <w:rPr>
          <w:rStyle w:val="CharStyle5"/>
          <w:spacing w:val="2"/>
          <w:u w:val="single"/>
          <w:shd w:val="clear" w:color="auto" w:fill="000000"/>
        </w:rPr>
        <w:t>..............</w:t>
      </w:r>
      <w:r>
        <w:rPr>
          <w:rStyle w:val="CharStyle5"/>
          <w:spacing w:val="3"/>
          <w:u w:val="single"/>
          <w:shd w:val="clear" w:color="auto" w:fill="000000"/>
        </w:rPr>
        <w:t>.</w:t>
      </w:r>
      <w:r>
        <w:rPr>
          <w:rStyle w:val="CharStyle5"/>
          <w:shd w:val="clear" w:color="auto" w:fill="000000"/>
        </w:rPr>
        <w:t>..</w:t>
      </w:r>
      <w:r>
        <w:rPr>
          <w:rStyle w:val="CharStyle5"/>
        </w:rPr>
        <w:t xml:space="preserve">Na faktuře musí být mimo jiné vždy uvedeno toto číslo veřejné zakázky, ke které se faktura vztahuje: </w:t>
      </w:r>
      <w:r>
        <w:rPr>
          <w:rStyle w:val="CharStyle5"/>
          <w:b/>
          <w:bCs/>
        </w:rPr>
        <w:t xml:space="preserve">P21V00002783. </w:t>
      </w:r>
      <w:r>
        <w:rPr>
          <w:rStyle w:val="CharStyle5"/>
        </w:rPr>
        <w:t>Tato faktura musí mít</w:t>
        <w:br w:type="page"/>
      </w:r>
      <w:r>
        <w:rPr>
          <w:rStyle w:val="CharStyle5"/>
        </w:rPr>
        <w:t>náležitosti účetního a daňového dokladu podle příslušných právních předpisů. Nebude-li faktura splňovat veškeré náležitosti daňového dokladu podle zákona a další náležitosti podle této smlouvy, je příkazce oprávněn vrátit takovou fakturu příkazníkovi k opravě, přičemž doba její splatnosti začne znovu celá běžet ode dne doručení opravené faktury příkazci.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17" w:lineRule="auto"/>
        <w:ind w:left="440" w:right="0" w:hanging="440"/>
        <w:jc w:val="both"/>
      </w:pPr>
      <w:r>
        <w:rPr>
          <w:rStyle w:val="CharStyle5"/>
        </w:rPr>
        <w:t>Příkazce se dále zavazuje poskytovat příkazníkovi součinnost, nezbytnou k řádnému a včasnému splnění jeho příkazní činnosti podle této smlouvy a podle jednotlivých dílčích příkazních smluv. Za tímto účelem se zavazuje mu zejména umožnit přístup k jeho profilu zadavatele a předávat mu nezbytné informace a podklady.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24" w:lineRule="auto"/>
        <w:ind w:left="440" w:right="0" w:hanging="440"/>
        <w:jc w:val="both"/>
      </w:pPr>
      <w:r>
        <w:rPr>
          <w:rStyle w:val="CharStyle5"/>
        </w:rPr>
        <w:t>Není-li touto smlouvou ujednáno jinak, řídi se vzájemné právní poměry mezi oběma stranami v této věci ust. § 2430 až 2444 občanského zákoníku.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19" w:lineRule="auto"/>
        <w:ind w:left="440" w:right="0" w:hanging="440"/>
        <w:jc w:val="both"/>
      </w:pPr>
      <w:r>
        <w:rPr>
          <w:rStyle w:val="CharStyle5"/>
        </w:rPr>
        <w:t xml:space="preserve">Tato smlouva se uzavírá na dobu určitou </w:t>
      </w:r>
      <w:r>
        <w:rPr>
          <w:rStyle w:val="CharStyle5"/>
          <w:b/>
          <w:bCs/>
        </w:rPr>
        <w:t xml:space="preserve">1 roku </w:t>
      </w:r>
      <w:r>
        <w:rPr>
          <w:rStyle w:val="CharStyle5"/>
        </w:rPr>
        <w:t xml:space="preserve">ode dne její účinnosti, nejdéle však na dobu do </w:t>
      </w:r>
      <w:r>
        <w:rPr>
          <w:rStyle w:val="CharStyle5"/>
          <w:b/>
          <w:bCs/>
        </w:rPr>
        <w:t>31. 12.2022.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24" w:lineRule="auto"/>
        <w:ind w:left="440" w:right="0" w:hanging="440"/>
        <w:jc w:val="both"/>
      </w:pPr>
      <w:r>
        <w:rPr>
          <w:rStyle w:val="CharStyle5"/>
        </w:rPr>
        <w:t>Tuto smlouvu i jednotlivou dílčí příkazní smlouvu lze změnit nebo zrušit pouze jinou písemnou dohodou obou smluvních stran. Tuto smlouvu i jednotlivou dílčí příkazní smlouvu lze také vypovědět písemnou výpovědí s týdenní výpovědní lhůtou, která počne běžet prvním dnem po doručení výpovědi druhé smluvní straně. Pro případ skončení jednotlivé dílčí příkazní smlouvy před úplným splněním závazku příkazníka z této dílčí příkazním smlouvy, náleží příkazníkovi poměrná část odměny podle čl. 15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19" w:lineRule="auto"/>
        <w:ind w:left="440" w:right="0" w:hanging="440"/>
        <w:jc w:val="both"/>
      </w:pPr>
      <w:r>
        <w:rPr>
          <w:rStyle w:val="CharStyle5"/>
        </w:rPr>
        <w:t>Tato smlouva nabývá účinnosti po jejím uzavření dnem jejího zveřejnění v příslušném registru smluv ve smyslu zákona č. 340/2015 Sb. o registraci smluv.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24" w:lineRule="auto"/>
        <w:ind w:left="440" w:right="0" w:hanging="440"/>
        <w:jc w:val="both"/>
      </w:pPr>
      <w:r>
        <w:rPr>
          <w:rStyle w:val="CharStyle5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03200" distB="2194560" distL="0" distR="0" simplePos="0" relativeHeight="125829380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203200</wp:posOffset>
                </wp:positionV>
                <wp:extent cx="661670" cy="1460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167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049999999999997pt;margin-top:16.pt;width:52.100000000000001pt;height:11.5pt;z-index:-125829373;mso-wrap-distance-left:0;mso-wrap-distance-top:16.pt;mso-wrap-distance-right:0;mso-wrap-distance-bottom:172.8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Brně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45490" distB="1228090" distL="0" distR="0" simplePos="0" relativeHeight="125829382" behindDoc="0" locked="0" layoutInCell="1" allowOverlap="1">
            <wp:simplePos x="0" y="0"/>
            <wp:positionH relativeFrom="page">
              <wp:posOffset>1583055</wp:posOffset>
            </wp:positionH>
            <wp:positionV relativeFrom="paragraph">
              <wp:posOffset>745490</wp:posOffset>
            </wp:positionV>
            <wp:extent cx="1134110" cy="57277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34110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86080" distB="1407795" distL="27305" distR="374650" simplePos="0" relativeHeight="125829383" behindDoc="0" locked="0" layoutInCell="1" allowOverlap="1">
            <wp:simplePos x="0" y="0"/>
            <wp:positionH relativeFrom="page">
              <wp:posOffset>4173855</wp:posOffset>
            </wp:positionH>
            <wp:positionV relativeFrom="paragraph">
              <wp:posOffset>386080</wp:posOffset>
            </wp:positionV>
            <wp:extent cx="2316480" cy="749935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316480" cy="7499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4146550</wp:posOffset>
                </wp:positionH>
                <wp:positionV relativeFrom="paragraph">
                  <wp:posOffset>203200</wp:posOffset>
                </wp:positionV>
                <wp:extent cx="1380490" cy="14605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049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7"/>
                                <w:sz w:val="17"/>
                                <w:szCs w:val="17"/>
                              </w:rPr>
                              <w:t>V Brně dne 08. 12. 2021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6.5pt;margin-top:16.pt;width:108.7pt;height:11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7"/>
                          <w:sz w:val="17"/>
                          <w:szCs w:val="17"/>
                        </w:rPr>
                        <w:t>V Brně dne 08. 12.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5146040</wp:posOffset>
                </wp:positionH>
                <wp:positionV relativeFrom="paragraph">
                  <wp:posOffset>1212215</wp:posOffset>
                </wp:positionV>
                <wp:extent cx="1715770" cy="67056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5770" cy="670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CharStyle7"/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•A TENDER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’ Plus Tender, s.r.o. ® Sídlo: Dostálova 97/5, Stránice, 602 00 Brno Office: tř. Kpt. Jaroše 13. 602 00 Brno lč 086 71 401 • Reg. KS v Brně, odd C, vl. 114523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05.19999999999999pt;margin-top:95.450000000000003pt;width:135.09999999999999pt;height:52.8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Style w:val="CharStyle7"/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•A TENDER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rStyle w:val="CharStyle7"/>
                        </w:rPr>
                        <w:t>’ Plus Tender, s.r.o. ® Sídlo: Dostálova 97/5, Stránice, 602 00 Brno Office: tř. Kpt. Jaroše 13. 602 00 Brno lč 086 71 401 • Reg. KS v Brně, odd C, vl. 114523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233170" distB="1161415" distL="0" distR="0" simplePos="0" relativeHeight="125829384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1233170</wp:posOffset>
                </wp:positionV>
                <wp:extent cx="1429385" cy="14922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938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 xml:space="preserve">MUDr. Hana 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8.25pt;margin-top:97.100000000000009pt;width:112.55pt;height:11.75pt;z-index:-125829369;mso-wrap-distance-left:0;mso-wrap-distance-top:97.100000000000009pt;mso-wrap-distance-right:0;mso-wrap-distance-bottom:91.45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MUDr. Hana 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00810" distB="819785" distL="0" distR="0" simplePos="0" relativeHeight="125829386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1400810</wp:posOffset>
                </wp:positionV>
                <wp:extent cx="542290" cy="32321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2290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příkazce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7.549999999999997pt;margin-top:110.3pt;width:42.700000000000003pt;height:25.449999999999999pt;z-index:-125829367;mso-wrap-distance-left:0;mso-wrap-distance-top:110.3pt;mso-wrap-distance-right:0;mso-wrap-distance-bottom:64.54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ředitelka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příkazce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63065" distB="523875" distL="0" distR="0" simplePos="0" relativeHeight="125829388" behindDoc="0" locked="0" layoutInCell="1" allowOverlap="1">
                <wp:simplePos x="0" y="0"/>
                <wp:positionH relativeFrom="page">
                  <wp:posOffset>1824355</wp:posOffset>
                </wp:positionH>
                <wp:positionV relativeFrom="paragraph">
                  <wp:posOffset>1663065</wp:posOffset>
                </wp:positionV>
                <wp:extent cx="1569720" cy="35687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972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3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5"/>
                                <w:color w:val="A0D3E7"/>
                              </w:rPr>
                              <w:t>Jihomoravského kraje, p o. " .amenice 788/1 d, 625 00 Brno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43.65000000000001pt;margin-top:130.94999999999999pt;width:123.60000000000001pt;height:28.100000000000001pt;z-index:-125829365;mso-wrap-distance-left:0;mso-wrap-distance-top:130.94999999999999pt;mso-wrap-distance-right:0;mso-wrap-distance-bottom:41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3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  <w:color w:val="A0D3E7"/>
                        </w:rPr>
                        <w:t>Jihomoravského kraje, p o. " .amenice 788/1 d, 625 00 Brno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33170" distB="783590" distL="0" distR="0" simplePos="0" relativeHeight="125829390" behindDoc="0" locked="0" layoutInCell="1" allowOverlap="1">
                <wp:simplePos x="0" y="0"/>
                <wp:positionH relativeFrom="page">
                  <wp:posOffset>4137660</wp:posOffset>
                </wp:positionH>
                <wp:positionV relativeFrom="paragraph">
                  <wp:posOffset>1233170</wp:posOffset>
                </wp:positionV>
                <wp:extent cx="850265" cy="52705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527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 xml:space="preserve">Ing. Petr Kolář jednatel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příkazník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25.80000000000001pt;margin-top:97.100000000000009pt;width:66.950000000000003pt;height:41.5pt;z-index:-125829363;mso-wrap-distance-left:0;mso-wrap-distance-top:97.100000000000009pt;mso-wrap-distance-right:0;mso-wrap-distance-bottom:61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Ing. Petr Kolář jednatel </w:t>
                      </w:r>
                      <w:r>
                        <w:rPr>
                          <w:rStyle w:val="CharStyle5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příkazník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97760" distB="0" distL="0" distR="0" simplePos="0" relativeHeight="125829392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2397760</wp:posOffset>
                </wp:positionV>
                <wp:extent cx="643255" cy="14605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Příloha č.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8.25pt;margin-top:188.80000000000001pt;width:50.649999999999999pt;height:11.5pt;z-index:-125829361;mso-wrap-distance-left:0;mso-wrap-distance-top:188.8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Příloha č.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94585" distB="3175" distL="0" distR="0" simplePos="0" relativeHeight="125829394" behindDoc="0" locked="0" layoutInCell="1" allowOverlap="1">
                <wp:simplePos x="0" y="0"/>
                <wp:positionH relativeFrom="page">
                  <wp:posOffset>1757045</wp:posOffset>
                </wp:positionH>
                <wp:positionV relativeFrom="paragraph">
                  <wp:posOffset>2394585</wp:posOffset>
                </wp:positionV>
                <wp:extent cx="1261745" cy="14605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174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Seznam služeb, ceník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38.34999999999999pt;margin-top:188.55000000000001pt;width:99.350000000000009pt;height:11.5pt;z-index:-125829359;mso-wrap-distance-left:0;mso-wrap-distance-top:188.55000000000001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Seznam služeb, ceník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5"/>
        </w:rPr>
        <w:t>Příloha č. 1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89" w:right="0" w:firstLine="0"/>
        <w:jc w:val="left"/>
      </w:pPr>
      <w:r>
        <w:rPr>
          <w:rStyle w:val="CharStyle24"/>
          <w:b/>
          <w:bCs/>
          <w:sz w:val="17"/>
          <w:szCs w:val="17"/>
        </w:rPr>
        <w:t>SEZNAM SLUŽEB, CENÍK</w:t>
      </w:r>
    </w:p>
    <w:tbl>
      <w:tblPr>
        <w:tblOverlap w:val="never"/>
        <w:jc w:val="center"/>
        <w:tblLayout w:type="fixed"/>
      </w:tblPr>
      <w:tblGrid>
        <w:gridCol w:w="576"/>
        <w:gridCol w:w="5318"/>
        <w:gridCol w:w="1651"/>
        <w:gridCol w:w="1666"/>
      </w:tblGrid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7"/>
                <w:b/>
                <w:bCs/>
                <w:i/>
                <w:iCs/>
                <w:sz w:val="20"/>
                <w:szCs w:val="20"/>
              </w:rPr>
              <w:t>PJČ.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</w:pPr>
            <w:r>
              <w:rPr>
                <w:rStyle w:val="CharStyle27"/>
                <w:b/>
                <w:bCs/>
              </w:rPr>
              <w:t>Seznam služeb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27"/>
                <w:b/>
                <w:bCs/>
              </w:rPr>
              <w:t>Cena za administraci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27"/>
                <w:b/>
                <w:bCs/>
              </w:rPr>
              <w:t>Cena za administraci v Kč včetně DPH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Zakázka malého rozsahu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7"/>
              </w:rPr>
              <w:t>49 000,-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7"/>
              </w:rPr>
              <w:t>59 290,-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Zjednodušené podlimitní 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7"/>
              </w:rPr>
              <w:t>69 000,-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7"/>
              </w:rPr>
              <w:t>83 490,-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Otevřené 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7"/>
              </w:rPr>
              <w:t>89 000,-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7"/>
              </w:rPr>
              <w:t>107 690,-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Užší 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7"/>
              </w:rPr>
              <w:t>99 000,-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7"/>
              </w:rPr>
              <w:t>119 790,-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76" w:lineRule="auto"/>
              <w:ind w:left="0" w:right="0" w:firstLine="0"/>
              <w:jc w:val="left"/>
            </w:pPr>
            <w:r>
              <w:rPr>
                <w:rStyle w:val="CharStyle27"/>
              </w:rPr>
              <w:t>Hodinová sazba za práce nad rámec plnění souvisejících se zadávacím řízením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7"/>
              </w:rPr>
              <w:t>1 500,-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7"/>
              </w:rPr>
              <w:t>1 815,-</w:t>
            </w:r>
          </w:p>
        </w:tc>
      </w:tr>
    </w:tbl>
    <w:sectPr>
      <w:footerReference w:type="default" r:id="rId9"/>
      <w:footnotePr>
        <w:pos w:val="pageBottom"/>
        <w:numFmt w:val="decimal"/>
        <w:numRestart w:val="continuous"/>
      </w:footnotePr>
      <w:pgSz w:w="11900" w:h="16840"/>
      <w:pgMar w:top="560" w:right="589" w:bottom="1532" w:left="1342" w:header="132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10102850</wp:posOffset>
              </wp:positionV>
              <wp:extent cx="5449570" cy="11874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495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VZ 39-21 Administrace veřejných zakázek pro Zdravotnickou záchrannou službu Jihomoravského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68.299999999999997pt;margin-top:795.5pt;width:429.10000000000002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sz w:val="17"/>
                        <w:szCs w:val="17"/>
                      </w:rPr>
                      <w:t>VZ 39-21 Administrace veřejných zakázek pro Zdravotnickou záchrannou službu Jihomoravského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8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Titulek obrázku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">
    <w:name w:val="Nadpis #1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CharStyle17">
    <w:name w:val="Záhlaví nebo zápatí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Základní text (3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2">
    <w:name w:val="Nadpis #2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Titulek tabulky_"/>
    <w:basedOn w:val="DefaultParagraphFont"/>
    <w:link w:val="Style23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27">
    <w:name w:val="Jiné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220"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6">
    <w:name w:val="Titulek obrázku"/>
    <w:basedOn w:val="Normal"/>
    <w:link w:val="CharStyle7"/>
    <w:pPr>
      <w:widowControl w:val="0"/>
      <w:shd w:val="clear" w:color="auto" w:fill="auto"/>
      <w:spacing w:line="283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4">
    <w:name w:val="Nadpis #1"/>
    <w:basedOn w:val="Normal"/>
    <w:link w:val="CharStyle15"/>
    <w:pPr>
      <w:widowControl w:val="0"/>
      <w:shd w:val="clear" w:color="auto" w:fill="auto"/>
      <w:spacing w:after="80"/>
      <w:ind w:right="114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paragraph" w:customStyle="1" w:styleId="Style16">
    <w:name w:val="Záhlaví nebo zápatí (2)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auto"/>
      <w:spacing w:after="620"/>
      <w:ind w:right="114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auto"/>
      <w:spacing w:after="440" w:line="262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Titulek tabulky"/>
    <w:basedOn w:val="Normal"/>
    <w:link w:val="CharStyle24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Style26">
    <w:name w:val="Jiné"/>
    <w:basedOn w:val="Normal"/>
    <w:link w:val="CharStyle27"/>
    <w:pPr>
      <w:widowControl w:val="0"/>
      <w:shd w:val="clear" w:color="auto" w:fill="auto"/>
      <w:spacing w:after="220"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footer" Target="footer1.xml"/></Relationships>
</file>