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FD1" w:rsidRPr="00EE7195" w:rsidRDefault="00A30FD1" w:rsidP="00A30FD1">
      <w:pPr>
        <w:pStyle w:val="Podtitul"/>
        <w:ind w:left="1985" w:hanging="1985"/>
        <w:rPr>
          <w:rFonts w:asciiTheme="minorHAnsi" w:hAnsiTheme="minorHAnsi" w:cstheme="minorHAnsi"/>
        </w:rPr>
      </w:pPr>
      <w:bookmarkStart w:id="0" w:name="_GoBack"/>
      <w:bookmarkEnd w:id="0"/>
      <w:r w:rsidRPr="00EE7195">
        <w:rPr>
          <w:rFonts w:asciiTheme="minorHAnsi" w:hAnsiTheme="minorHAnsi" w:cstheme="minorHAnsi"/>
          <w:sz w:val="28"/>
          <w:szCs w:val="28"/>
        </w:rPr>
        <w:t xml:space="preserve">Příloha č. </w:t>
      </w:r>
      <w:r>
        <w:rPr>
          <w:rFonts w:asciiTheme="minorHAnsi" w:hAnsiTheme="minorHAnsi" w:cstheme="minorHAnsi"/>
          <w:sz w:val="28"/>
          <w:szCs w:val="28"/>
        </w:rPr>
        <w:t>1</w:t>
      </w:r>
      <w:r w:rsidRPr="00EE7195">
        <w:rPr>
          <w:rFonts w:asciiTheme="minorHAnsi" w:hAnsiTheme="minorHAnsi" w:cstheme="minorHAnsi"/>
          <w:sz w:val="28"/>
          <w:szCs w:val="28"/>
        </w:rPr>
        <w:tab/>
        <w:t>Záruční podmínky</w:t>
      </w:r>
    </w:p>
    <w:p w:rsidR="00A30FD1" w:rsidRPr="0022582F" w:rsidRDefault="00A30FD1" w:rsidP="00A30FD1">
      <w:pPr>
        <w:pStyle w:val="Odstavecseseznamem"/>
        <w:numPr>
          <w:ilvl w:val="0"/>
          <w:numId w:val="6"/>
        </w:numPr>
        <w:spacing w:after="0" w:line="240" w:lineRule="auto"/>
        <w:ind w:left="426" w:hanging="426"/>
        <w:rPr>
          <w:rFonts w:asciiTheme="minorHAnsi" w:hAnsiTheme="minorHAnsi" w:cstheme="minorHAnsi"/>
          <w:b/>
        </w:rPr>
      </w:pPr>
      <w:r w:rsidRPr="0022582F">
        <w:rPr>
          <w:rFonts w:asciiTheme="minorHAnsi" w:hAnsiTheme="minorHAnsi" w:cstheme="minorHAnsi"/>
          <w:b/>
        </w:rPr>
        <w:t>Jednotné kontaktní místo a služba Helpdesk</w:t>
      </w:r>
    </w:p>
    <w:p w:rsidR="00A30FD1" w:rsidRPr="0022582F" w:rsidRDefault="00A30FD1" w:rsidP="00A30FD1">
      <w:pPr>
        <w:pStyle w:val="Odstavecseseznamem"/>
        <w:numPr>
          <w:ilvl w:val="0"/>
          <w:numId w:val="7"/>
        </w:numPr>
        <w:spacing w:after="0" w:line="240" w:lineRule="auto"/>
        <w:rPr>
          <w:rFonts w:asciiTheme="minorHAnsi" w:hAnsiTheme="minorHAnsi" w:cstheme="minorHAnsi"/>
        </w:rPr>
      </w:pPr>
      <w:r w:rsidRPr="0022582F">
        <w:rPr>
          <w:rFonts w:asciiTheme="minorHAnsi" w:hAnsiTheme="minorHAnsi" w:cstheme="minorHAnsi"/>
        </w:rPr>
        <w:t>Zhotovitel zajistí pro potřeby objednatele poskytování služeb technické podpory v rámci záruky.</w:t>
      </w:r>
    </w:p>
    <w:p w:rsidR="00A30FD1" w:rsidRPr="0022582F" w:rsidRDefault="00A30FD1" w:rsidP="00A30FD1">
      <w:pPr>
        <w:pStyle w:val="Odstavecseseznamem"/>
        <w:numPr>
          <w:ilvl w:val="0"/>
          <w:numId w:val="7"/>
        </w:numPr>
        <w:spacing w:after="0" w:line="240" w:lineRule="auto"/>
        <w:rPr>
          <w:rFonts w:asciiTheme="minorHAnsi" w:hAnsiTheme="minorHAnsi" w:cstheme="minorHAnsi"/>
        </w:rPr>
      </w:pPr>
      <w:r w:rsidRPr="0022582F">
        <w:rPr>
          <w:rFonts w:asciiTheme="minorHAnsi" w:hAnsiTheme="minorHAnsi" w:cstheme="minorHAnsi"/>
        </w:rPr>
        <w:t>Pro účely komunikace budou zřízena kontaktní místa, která budou mít primárně podobu webové aplikace Helpdesk zřízené a provozované zhotovitelem.</w:t>
      </w:r>
    </w:p>
    <w:p w:rsidR="00A30FD1" w:rsidRPr="0022582F" w:rsidRDefault="00A30FD1" w:rsidP="00A30FD1">
      <w:pPr>
        <w:pStyle w:val="Odstavecseseznamem"/>
        <w:numPr>
          <w:ilvl w:val="0"/>
          <w:numId w:val="7"/>
        </w:numPr>
        <w:spacing w:after="0" w:line="240" w:lineRule="auto"/>
        <w:rPr>
          <w:rFonts w:asciiTheme="minorHAnsi" w:hAnsiTheme="minorHAnsi" w:cstheme="minorHAnsi"/>
        </w:rPr>
      </w:pPr>
      <w:r w:rsidRPr="0022582F">
        <w:rPr>
          <w:rFonts w:asciiTheme="minorHAnsi" w:hAnsiTheme="minorHAnsi" w:cstheme="minorHAnsi"/>
        </w:rPr>
        <w:t>Služba Helpdesk bude sloužit jak pro zaznamenávání případných závad a problémů, tak dotazů zodpovědných osob jmenovaných zákazníkem.</w:t>
      </w:r>
    </w:p>
    <w:p w:rsidR="00A30FD1" w:rsidRPr="0022582F" w:rsidRDefault="00A30FD1" w:rsidP="00A30FD1">
      <w:pPr>
        <w:pStyle w:val="Odstavecseseznamem"/>
        <w:numPr>
          <w:ilvl w:val="0"/>
          <w:numId w:val="7"/>
        </w:numPr>
        <w:spacing w:after="0" w:line="240" w:lineRule="auto"/>
        <w:rPr>
          <w:rFonts w:asciiTheme="minorHAnsi" w:hAnsiTheme="minorHAnsi" w:cstheme="minorHAnsi"/>
        </w:rPr>
      </w:pPr>
      <w:r w:rsidRPr="0022582F">
        <w:rPr>
          <w:rFonts w:asciiTheme="minorHAnsi" w:hAnsiTheme="minorHAnsi" w:cstheme="minorHAnsi"/>
        </w:rPr>
        <w:t>Provoz Helpdesku je zdarma, dostupnost služby je v režimu 24/7.</w:t>
      </w:r>
    </w:p>
    <w:p w:rsidR="00A30FD1" w:rsidRPr="0022582F" w:rsidRDefault="00A30FD1" w:rsidP="00A30FD1">
      <w:pPr>
        <w:pStyle w:val="Odstavecseseznamem"/>
        <w:numPr>
          <w:ilvl w:val="0"/>
          <w:numId w:val="7"/>
        </w:numPr>
        <w:spacing w:after="0" w:line="240" w:lineRule="auto"/>
        <w:rPr>
          <w:rFonts w:asciiTheme="minorHAnsi" w:hAnsiTheme="minorHAnsi" w:cstheme="minorHAnsi"/>
        </w:rPr>
      </w:pPr>
      <w:r w:rsidRPr="0022582F">
        <w:rPr>
          <w:rFonts w:asciiTheme="minorHAnsi" w:hAnsiTheme="minorHAnsi" w:cstheme="minorHAnsi"/>
        </w:rPr>
        <w:t>Provoz kontaktního místa je zdarma, dostupnost služby je v režimu 10/5 (v pracovní dny v rozmezí 7:30 - 17:30).</w:t>
      </w:r>
    </w:p>
    <w:p w:rsidR="00A30FD1" w:rsidRPr="0022582F" w:rsidRDefault="00A30FD1" w:rsidP="00A30FD1">
      <w:pPr>
        <w:pStyle w:val="Odstavecseseznamem"/>
        <w:numPr>
          <w:ilvl w:val="0"/>
          <w:numId w:val="7"/>
        </w:numPr>
        <w:spacing w:after="0" w:line="240" w:lineRule="auto"/>
        <w:rPr>
          <w:rFonts w:asciiTheme="minorHAnsi" w:hAnsiTheme="minorHAnsi" w:cstheme="minorHAnsi"/>
        </w:rPr>
      </w:pPr>
      <w:r w:rsidRPr="0022582F">
        <w:rPr>
          <w:rFonts w:asciiTheme="minorHAnsi" w:hAnsiTheme="minorHAnsi" w:cstheme="minorHAnsi"/>
        </w:rPr>
        <w:t>Zhotovitel zřídí určeným pracovníkům objednatele vzdálený přístup k jednotnému kontaktnímu místu.</w:t>
      </w:r>
    </w:p>
    <w:p w:rsidR="00A30FD1" w:rsidRPr="0022582F" w:rsidRDefault="00A30FD1" w:rsidP="00A30FD1">
      <w:pPr>
        <w:pStyle w:val="Odstavecseseznamem"/>
        <w:numPr>
          <w:ilvl w:val="0"/>
          <w:numId w:val="7"/>
        </w:numPr>
        <w:spacing w:after="0" w:line="240" w:lineRule="auto"/>
        <w:rPr>
          <w:rFonts w:asciiTheme="minorHAnsi" w:hAnsiTheme="minorHAnsi" w:cstheme="minorHAnsi"/>
        </w:rPr>
      </w:pPr>
      <w:r w:rsidRPr="0022582F">
        <w:rPr>
          <w:rFonts w:asciiTheme="minorHAnsi" w:hAnsiTheme="minorHAnsi" w:cstheme="minorHAnsi"/>
        </w:rPr>
        <w:t>Jednotné kontaktní místo a Helpdesk budou poskytovat zejména následující funkce:</w:t>
      </w:r>
    </w:p>
    <w:p w:rsidR="00A30FD1" w:rsidRPr="0022582F" w:rsidRDefault="00A30FD1" w:rsidP="00A30FD1">
      <w:pPr>
        <w:pStyle w:val="Odstavecseseznamem"/>
        <w:numPr>
          <w:ilvl w:val="0"/>
          <w:numId w:val="5"/>
        </w:numPr>
        <w:tabs>
          <w:tab w:val="clear" w:pos="993"/>
          <w:tab w:val="left" w:pos="1418"/>
        </w:tabs>
        <w:spacing w:after="0" w:line="240" w:lineRule="auto"/>
        <w:ind w:left="1418" w:hanging="425"/>
        <w:rPr>
          <w:rFonts w:asciiTheme="minorHAnsi" w:hAnsiTheme="minorHAnsi" w:cstheme="minorHAnsi"/>
        </w:rPr>
      </w:pPr>
      <w:r w:rsidRPr="0022582F">
        <w:rPr>
          <w:rFonts w:asciiTheme="minorHAnsi" w:hAnsiTheme="minorHAnsi" w:cstheme="minorHAnsi"/>
        </w:rPr>
        <w:t>příjem a řízení životního cyklu všech incidentů, problémů a požadavků,</w:t>
      </w:r>
    </w:p>
    <w:p w:rsidR="00A30FD1" w:rsidRPr="0022582F" w:rsidRDefault="00A30FD1" w:rsidP="00A30FD1">
      <w:pPr>
        <w:pStyle w:val="Odstavecseseznamem"/>
        <w:numPr>
          <w:ilvl w:val="0"/>
          <w:numId w:val="5"/>
        </w:numPr>
        <w:tabs>
          <w:tab w:val="clear" w:pos="993"/>
          <w:tab w:val="left" w:pos="1418"/>
        </w:tabs>
        <w:spacing w:after="0" w:line="240" w:lineRule="auto"/>
        <w:ind w:left="1418" w:hanging="425"/>
        <w:rPr>
          <w:rFonts w:asciiTheme="minorHAnsi" w:hAnsiTheme="minorHAnsi" w:cstheme="minorHAnsi"/>
        </w:rPr>
      </w:pPr>
      <w:r w:rsidRPr="0022582F">
        <w:rPr>
          <w:rFonts w:asciiTheme="minorHAnsi" w:hAnsiTheme="minorHAnsi" w:cstheme="minorHAnsi"/>
        </w:rPr>
        <w:t>prvotní analýza incidentů, problémů a požadavků a jejich přidělování k řešení,</w:t>
      </w:r>
    </w:p>
    <w:p w:rsidR="00A30FD1" w:rsidRPr="0022582F" w:rsidRDefault="00A30FD1" w:rsidP="00A30FD1">
      <w:pPr>
        <w:pStyle w:val="Odstavecseseznamem"/>
        <w:numPr>
          <w:ilvl w:val="0"/>
          <w:numId w:val="5"/>
        </w:numPr>
        <w:tabs>
          <w:tab w:val="clear" w:pos="993"/>
          <w:tab w:val="left" w:pos="1418"/>
        </w:tabs>
        <w:spacing w:after="0" w:line="240" w:lineRule="auto"/>
        <w:ind w:left="1418" w:hanging="425"/>
        <w:rPr>
          <w:rFonts w:asciiTheme="minorHAnsi" w:hAnsiTheme="minorHAnsi" w:cstheme="minorHAnsi"/>
        </w:rPr>
      </w:pPr>
      <w:r w:rsidRPr="0022582F">
        <w:rPr>
          <w:rFonts w:asciiTheme="minorHAnsi" w:hAnsiTheme="minorHAnsi" w:cstheme="minorHAnsi"/>
        </w:rPr>
        <w:t>řešení incidentů, problému a požadavků,</w:t>
      </w:r>
    </w:p>
    <w:p w:rsidR="00A30FD1" w:rsidRPr="0022582F" w:rsidRDefault="00A30FD1" w:rsidP="00A30FD1">
      <w:pPr>
        <w:pStyle w:val="Odstavecseseznamem"/>
        <w:numPr>
          <w:ilvl w:val="0"/>
          <w:numId w:val="5"/>
        </w:numPr>
        <w:tabs>
          <w:tab w:val="clear" w:pos="993"/>
          <w:tab w:val="left" w:pos="1418"/>
        </w:tabs>
        <w:spacing w:after="0" w:line="240" w:lineRule="auto"/>
        <w:ind w:left="1418" w:hanging="425"/>
        <w:rPr>
          <w:rFonts w:asciiTheme="minorHAnsi" w:hAnsiTheme="minorHAnsi" w:cstheme="minorHAnsi"/>
        </w:rPr>
      </w:pPr>
      <w:r w:rsidRPr="0022582F">
        <w:rPr>
          <w:rFonts w:asciiTheme="minorHAnsi" w:hAnsiTheme="minorHAnsi" w:cstheme="minorHAnsi"/>
        </w:rPr>
        <w:t>monitoring a reportování stavů incidentů, problémů a požadavků a plnění parametrů SLA (Service Level Agreement),</w:t>
      </w:r>
    </w:p>
    <w:p w:rsidR="00A30FD1" w:rsidRPr="0022582F" w:rsidRDefault="00A30FD1" w:rsidP="00A30FD1">
      <w:pPr>
        <w:pStyle w:val="Odstavecseseznamem"/>
        <w:numPr>
          <w:ilvl w:val="0"/>
          <w:numId w:val="5"/>
        </w:numPr>
        <w:tabs>
          <w:tab w:val="clear" w:pos="993"/>
          <w:tab w:val="left" w:pos="1418"/>
        </w:tabs>
        <w:spacing w:after="0" w:line="240" w:lineRule="auto"/>
        <w:ind w:left="1418" w:hanging="425"/>
        <w:rPr>
          <w:rFonts w:asciiTheme="minorHAnsi" w:hAnsiTheme="minorHAnsi" w:cstheme="minorHAnsi"/>
        </w:rPr>
      </w:pPr>
      <w:r w:rsidRPr="0022582F">
        <w:rPr>
          <w:rFonts w:asciiTheme="minorHAnsi" w:hAnsiTheme="minorHAnsi" w:cstheme="minorHAnsi"/>
        </w:rPr>
        <w:t>dokumentace incidentů, problémů, příčin vzniku a jejich řešení.</w:t>
      </w:r>
    </w:p>
    <w:p w:rsidR="00A30FD1" w:rsidRPr="0022582F" w:rsidRDefault="00A30FD1" w:rsidP="00A30FD1">
      <w:pPr>
        <w:pStyle w:val="Odstavecseseznamem"/>
        <w:numPr>
          <w:ilvl w:val="0"/>
          <w:numId w:val="7"/>
        </w:numPr>
        <w:spacing w:after="0" w:line="240" w:lineRule="auto"/>
        <w:rPr>
          <w:rFonts w:asciiTheme="minorHAnsi" w:hAnsiTheme="minorHAnsi" w:cstheme="minorHAnsi"/>
        </w:rPr>
      </w:pPr>
      <w:r w:rsidRPr="0022582F">
        <w:rPr>
          <w:rFonts w:asciiTheme="minorHAnsi" w:hAnsiTheme="minorHAnsi" w:cstheme="minorHAnsi"/>
        </w:rPr>
        <w:t>Služby jednotného kontaktního místa služeb a Helpdesku budou poskytovány na celý předmět plnění této smlouvy.</w:t>
      </w:r>
    </w:p>
    <w:p w:rsidR="00A30FD1" w:rsidRPr="0022582F" w:rsidRDefault="00A30FD1" w:rsidP="00A30FD1">
      <w:pPr>
        <w:pStyle w:val="Odstavecseseznamem"/>
        <w:numPr>
          <w:ilvl w:val="0"/>
          <w:numId w:val="7"/>
        </w:numPr>
        <w:spacing w:after="0" w:line="240" w:lineRule="auto"/>
        <w:jc w:val="left"/>
        <w:rPr>
          <w:rFonts w:asciiTheme="minorHAnsi" w:hAnsiTheme="minorHAnsi" w:cstheme="minorHAnsi"/>
        </w:rPr>
      </w:pPr>
      <w:r w:rsidRPr="0022582F">
        <w:rPr>
          <w:rFonts w:asciiTheme="minorHAnsi" w:hAnsiTheme="minorHAnsi" w:cstheme="minorHAnsi"/>
        </w:rPr>
        <w:t>Kontakt na Helpdesk https://helpdesk.fides.cz, servis@fides.cz, tel.: 545</w:t>
      </w:r>
      <w:r>
        <w:rPr>
          <w:rFonts w:asciiTheme="minorHAnsi" w:hAnsiTheme="minorHAnsi" w:cstheme="minorHAnsi"/>
        </w:rPr>
        <w:t> </w:t>
      </w:r>
      <w:r w:rsidRPr="0022582F">
        <w:rPr>
          <w:rFonts w:asciiTheme="minorHAnsi" w:hAnsiTheme="minorHAnsi" w:cstheme="minorHAnsi"/>
        </w:rPr>
        <w:t>536</w:t>
      </w:r>
      <w:r>
        <w:rPr>
          <w:rFonts w:asciiTheme="minorHAnsi" w:hAnsiTheme="minorHAnsi" w:cstheme="minorHAnsi"/>
        </w:rPr>
        <w:t xml:space="preserve"> </w:t>
      </w:r>
      <w:r w:rsidRPr="0022582F">
        <w:rPr>
          <w:rFonts w:asciiTheme="minorHAnsi" w:hAnsiTheme="minorHAnsi" w:cstheme="minorHAnsi"/>
        </w:rPr>
        <w:t>111</w:t>
      </w:r>
    </w:p>
    <w:p w:rsidR="00A30FD1" w:rsidRPr="0022582F" w:rsidRDefault="00A30FD1" w:rsidP="00A30FD1">
      <w:pPr>
        <w:spacing w:after="0" w:line="240" w:lineRule="auto"/>
        <w:jc w:val="left"/>
        <w:rPr>
          <w:rFonts w:asciiTheme="minorHAnsi" w:hAnsiTheme="minorHAnsi" w:cstheme="minorHAnsi"/>
        </w:rPr>
      </w:pPr>
    </w:p>
    <w:p w:rsidR="00A30FD1" w:rsidRDefault="00A30FD1" w:rsidP="00A30FD1">
      <w:pPr>
        <w:pStyle w:val="Odstavecseseznamem"/>
        <w:numPr>
          <w:ilvl w:val="0"/>
          <w:numId w:val="1"/>
        </w:numPr>
        <w:spacing w:after="0" w:line="240" w:lineRule="auto"/>
        <w:ind w:left="426" w:hanging="426"/>
        <w:rPr>
          <w:rFonts w:asciiTheme="minorHAnsi" w:hAnsiTheme="minorHAnsi" w:cstheme="minorHAnsi"/>
          <w:b/>
        </w:rPr>
      </w:pPr>
      <w:r w:rsidRPr="0022582F">
        <w:rPr>
          <w:rFonts w:asciiTheme="minorHAnsi" w:hAnsiTheme="minorHAnsi" w:cstheme="minorHAnsi"/>
          <w:b/>
        </w:rPr>
        <w:t>SLA - Dohoda o požadované úrovní služeb</w:t>
      </w:r>
    </w:p>
    <w:p w:rsidR="00A30FD1" w:rsidRPr="0022582F" w:rsidRDefault="00A30FD1" w:rsidP="00A30FD1">
      <w:pPr>
        <w:pStyle w:val="Odstavecseseznamem"/>
        <w:numPr>
          <w:ilvl w:val="0"/>
          <w:numId w:val="0"/>
        </w:numPr>
        <w:spacing w:after="0" w:line="240" w:lineRule="auto"/>
        <w:ind w:left="426"/>
        <w:rPr>
          <w:rFonts w:asciiTheme="minorHAnsi" w:hAnsiTheme="minorHAnsi" w:cstheme="minorHAnsi"/>
          <w:b/>
        </w:rPr>
      </w:pPr>
    </w:p>
    <w:p w:rsidR="00A30FD1" w:rsidRPr="00917810" w:rsidRDefault="00A30FD1" w:rsidP="00A30FD1">
      <w:pPr>
        <w:pStyle w:val="Odstavecseseznamem"/>
        <w:numPr>
          <w:ilvl w:val="0"/>
          <w:numId w:val="2"/>
        </w:numPr>
        <w:tabs>
          <w:tab w:val="clear" w:pos="993"/>
          <w:tab w:val="left" w:pos="426"/>
        </w:tabs>
        <w:spacing w:after="0" w:line="240" w:lineRule="auto"/>
        <w:ind w:left="426" w:hanging="426"/>
        <w:rPr>
          <w:rFonts w:asciiTheme="minorHAnsi" w:hAnsiTheme="minorHAnsi" w:cstheme="minorHAnsi"/>
          <w:b/>
          <w:u w:val="single"/>
        </w:rPr>
      </w:pPr>
      <w:r w:rsidRPr="00917810">
        <w:rPr>
          <w:rFonts w:asciiTheme="minorHAnsi" w:hAnsiTheme="minorHAnsi" w:cstheme="minorHAnsi"/>
          <w:b/>
          <w:u w:val="single"/>
        </w:rPr>
        <w:t>Definice použitých pojmů</w:t>
      </w:r>
    </w:p>
    <w:p w:rsidR="00A30FD1" w:rsidRPr="0022582F" w:rsidRDefault="00A30FD1" w:rsidP="00A30FD1">
      <w:pPr>
        <w:spacing w:after="0" w:line="240" w:lineRule="auto"/>
        <w:ind w:firstLine="360"/>
        <w:rPr>
          <w:rFonts w:asciiTheme="minorHAnsi" w:hAnsiTheme="minorHAnsi" w:cstheme="minorHAnsi"/>
        </w:rPr>
      </w:pPr>
      <w:r w:rsidRPr="0022582F">
        <w:rPr>
          <w:rFonts w:asciiTheme="minorHAnsi" w:hAnsiTheme="minorHAnsi" w:cstheme="minorHAnsi"/>
        </w:rPr>
        <w:t>SLA (Service Level Agreement) - dohoda o požadované úrovni služeb.</w:t>
      </w:r>
    </w:p>
    <w:p w:rsidR="00A30FD1" w:rsidRPr="0022582F" w:rsidRDefault="00A30FD1" w:rsidP="00A30FD1">
      <w:pPr>
        <w:pStyle w:val="Odstavecseseznamem"/>
        <w:numPr>
          <w:ilvl w:val="0"/>
          <w:numId w:val="4"/>
        </w:numPr>
        <w:spacing w:after="0" w:line="240" w:lineRule="auto"/>
        <w:rPr>
          <w:rFonts w:asciiTheme="minorHAnsi" w:hAnsiTheme="minorHAnsi" w:cstheme="minorHAnsi"/>
        </w:rPr>
      </w:pPr>
      <w:r w:rsidRPr="0022582F">
        <w:rPr>
          <w:rFonts w:asciiTheme="minorHAnsi" w:hAnsiTheme="minorHAnsi" w:cstheme="minorHAnsi"/>
        </w:rPr>
        <w:t>Servisní podpora (Service Support) - servisní a technická činnost realizovaná Zhotovitelem „na místě" i vzdáleným připojením, včetně diagnostiky a služeb vedoucích k odstranění incidentu dle níže uvedené kategorizace, prováděná na základě servisního záznamu.</w:t>
      </w:r>
    </w:p>
    <w:p w:rsidR="00A30FD1" w:rsidRPr="0022582F" w:rsidRDefault="00A30FD1" w:rsidP="00A30FD1">
      <w:pPr>
        <w:pStyle w:val="Odstavecseseznamem"/>
        <w:numPr>
          <w:ilvl w:val="0"/>
          <w:numId w:val="8"/>
        </w:numPr>
        <w:spacing w:after="0" w:line="240" w:lineRule="auto"/>
        <w:rPr>
          <w:rFonts w:asciiTheme="minorHAnsi" w:hAnsiTheme="minorHAnsi" w:cstheme="minorHAnsi"/>
        </w:rPr>
      </w:pPr>
      <w:r w:rsidRPr="0022582F">
        <w:rPr>
          <w:rFonts w:asciiTheme="minorHAnsi" w:hAnsiTheme="minorHAnsi" w:cstheme="minorHAnsi"/>
        </w:rPr>
        <w:t>Servisní záznam (Service Ticket) - nahlášení události typu incident, problém nebo požadavek sjednaným způsobem. V pracovní dny v době od 07:30 - 17:30 hod. musí být jednou z možností pro nahlášení událostí prostřednictvím služby Helpdesk provozované Zhotovitelem, mimo tuto dobu budou události nahlašovány prostřednictvím jednotného kontaktního místa, které bude mít primárně podobu webové služby zřízené a provozované Zhotovitelem v režimu 24/7. Servisní záznam může být registrován pouze prostřednictvím k tomu stanovených kontaktů a postupů sjednaných ve smlouvě o poskytování servisních služeb.</w:t>
      </w:r>
    </w:p>
    <w:p w:rsidR="00A30FD1" w:rsidRPr="0022582F" w:rsidRDefault="00A30FD1" w:rsidP="00A30FD1">
      <w:pPr>
        <w:pStyle w:val="Odstavecseseznamem"/>
        <w:numPr>
          <w:ilvl w:val="0"/>
          <w:numId w:val="8"/>
        </w:numPr>
        <w:spacing w:after="0" w:line="240" w:lineRule="auto"/>
        <w:rPr>
          <w:rFonts w:asciiTheme="minorHAnsi" w:hAnsiTheme="minorHAnsi" w:cstheme="minorHAnsi"/>
        </w:rPr>
      </w:pPr>
      <w:r w:rsidRPr="0022582F">
        <w:rPr>
          <w:rFonts w:asciiTheme="minorHAnsi" w:hAnsiTheme="minorHAnsi" w:cstheme="minorHAnsi"/>
        </w:rPr>
        <w:t>Servisní záznam musí být oprávněným zástupcem Objednatele klasifikován z hlediska závažnosti. O řešení, odmítnutí, uzavření či jiných změnách stavu a závažnosti servisního záznamu bude vždy informován oprávněný zástupce, kdy jednotlivá stádia, zejména pak odmítnutí a uzavření servisního záznamu, musí být oprávněným zástupcem Objednatele odsouhlasena.</w:t>
      </w:r>
    </w:p>
    <w:p w:rsidR="00A30FD1" w:rsidRPr="0022582F" w:rsidRDefault="00A30FD1" w:rsidP="00A30FD1">
      <w:pPr>
        <w:pStyle w:val="Odstavecseseznamem"/>
        <w:numPr>
          <w:ilvl w:val="0"/>
          <w:numId w:val="8"/>
        </w:numPr>
        <w:spacing w:after="0" w:line="240" w:lineRule="auto"/>
        <w:rPr>
          <w:rFonts w:asciiTheme="minorHAnsi" w:hAnsiTheme="minorHAnsi" w:cstheme="minorHAnsi"/>
        </w:rPr>
      </w:pPr>
      <w:r w:rsidRPr="0022582F">
        <w:rPr>
          <w:rFonts w:asciiTheme="minorHAnsi" w:hAnsiTheme="minorHAnsi" w:cstheme="minorHAnsi"/>
        </w:rPr>
        <w:t>Závažnost (Severita) - klasifikace naléhavosti incidentu, problému nebo požadavku, která je odvozena od úrovně nefunkčnosti nebo nedostupnosti systému SCO,</w:t>
      </w:r>
    </w:p>
    <w:p w:rsidR="00A30FD1" w:rsidRPr="0022582F" w:rsidRDefault="00A30FD1" w:rsidP="00A30FD1">
      <w:pPr>
        <w:pStyle w:val="Odstavecseseznamem"/>
        <w:numPr>
          <w:ilvl w:val="0"/>
          <w:numId w:val="8"/>
        </w:numPr>
        <w:spacing w:after="0" w:line="240" w:lineRule="auto"/>
        <w:rPr>
          <w:rFonts w:asciiTheme="minorHAnsi" w:hAnsiTheme="minorHAnsi" w:cstheme="minorHAnsi"/>
        </w:rPr>
      </w:pPr>
      <w:r w:rsidRPr="0022582F">
        <w:rPr>
          <w:rFonts w:asciiTheme="minorHAnsi" w:hAnsiTheme="minorHAnsi" w:cstheme="minorHAnsi"/>
        </w:rPr>
        <w:t>Za dílčí vyřešení servisního záznamu pro incidenty nebo problémy se považuje i takové opatření, které způsobí změnu jeho závažnosti na nižší. Servisní záznam takto dílčím způsobem vyřešeného incidentu nebo problému má dobu vzniku shodnou se vznikem původního servisního záznamu a SLA (Response Time a Fix Time) se vztahuje na jeho aktuální závažnost.</w:t>
      </w:r>
    </w:p>
    <w:p w:rsidR="00A30FD1" w:rsidRPr="0022582F" w:rsidRDefault="00A30FD1" w:rsidP="00A30FD1">
      <w:pPr>
        <w:pStyle w:val="Odstavecseseznamem"/>
        <w:numPr>
          <w:ilvl w:val="0"/>
          <w:numId w:val="8"/>
        </w:numPr>
        <w:spacing w:after="0" w:line="240" w:lineRule="auto"/>
        <w:rPr>
          <w:rFonts w:asciiTheme="minorHAnsi" w:hAnsiTheme="minorHAnsi" w:cstheme="minorHAnsi"/>
        </w:rPr>
      </w:pPr>
      <w:r w:rsidRPr="0022582F">
        <w:rPr>
          <w:rFonts w:asciiTheme="minorHAnsi" w:hAnsiTheme="minorHAnsi" w:cstheme="minorHAnsi"/>
        </w:rPr>
        <w:lastRenderedPageBreak/>
        <w:t>Provozní doba služby Helpdesk je 10/5, tedy každý pracovní den v době od 07:30 do 17:30 hod.</w:t>
      </w:r>
    </w:p>
    <w:p w:rsidR="00A30FD1" w:rsidRPr="0022582F" w:rsidRDefault="00A30FD1" w:rsidP="00A30FD1">
      <w:pPr>
        <w:pStyle w:val="Odstavecseseznamem"/>
        <w:numPr>
          <w:ilvl w:val="0"/>
          <w:numId w:val="8"/>
        </w:numPr>
        <w:spacing w:after="0" w:line="240" w:lineRule="auto"/>
        <w:rPr>
          <w:rFonts w:asciiTheme="minorHAnsi" w:hAnsiTheme="minorHAnsi" w:cstheme="minorHAnsi"/>
        </w:rPr>
      </w:pPr>
      <w:r w:rsidRPr="0022582F">
        <w:rPr>
          <w:rFonts w:asciiTheme="minorHAnsi" w:hAnsiTheme="minorHAnsi" w:cstheme="minorHAnsi"/>
        </w:rPr>
        <w:t>Pracovní den (Working Day) - jakýkoliv den v roce mimo soboty, neděle a státem uznaného svátku.</w:t>
      </w:r>
    </w:p>
    <w:p w:rsidR="00A30FD1" w:rsidRPr="0022582F" w:rsidRDefault="00A30FD1" w:rsidP="00A30FD1">
      <w:pPr>
        <w:pStyle w:val="Odstavecseseznamem"/>
        <w:numPr>
          <w:ilvl w:val="0"/>
          <w:numId w:val="8"/>
        </w:numPr>
        <w:spacing w:after="0" w:line="240" w:lineRule="auto"/>
        <w:rPr>
          <w:rFonts w:asciiTheme="minorHAnsi" w:hAnsiTheme="minorHAnsi" w:cstheme="minorHAnsi"/>
        </w:rPr>
      </w:pPr>
      <w:r w:rsidRPr="0022582F">
        <w:rPr>
          <w:rFonts w:asciiTheme="minorHAnsi" w:hAnsiTheme="minorHAnsi" w:cstheme="minorHAnsi"/>
        </w:rPr>
        <w:t>Doba odezvy (Response Time) - doba od nahlášení do zahájení řešení incidentu, problému nebo požadavku nahlášeného formou servisního záznamu.</w:t>
      </w:r>
    </w:p>
    <w:p w:rsidR="00A30FD1" w:rsidRPr="0022582F" w:rsidRDefault="00A30FD1" w:rsidP="00A30FD1">
      <w:pPr>
        <w:pStyle w:val="Odstavecseseznamem"/>
        <w:numPr>
          <w:ilvl w:val="0"/>
          <w:numId w:val="8"/>
        </w:numPr>
        <w:spacing w:after="0" w:line="240" w:lineRule="auto"/>
        <w:rPr>
          <w:rFonts w:asciiTheme="minorHAnsi" w:hAnsiTheme="minorHAnsi" w:cstheme="minorHAnsi"/>
        </w:rPr>
      </w:pPr>
      <w:r w:rsidRPr="0022582F">
        <w:rPr>
          <w:rFonts w:asciiTheme="minorHAnsi" w:hAnsiTheme="minorHAnsi" w:cstheme="minorHAnsi"/>
        </w:rPr>
        <w:t>Doba řešení (Fix Time) - doba od nahlášení do vyřešení incidentu, problému nebo požadavku nahlášeného formou servisního záznamu.</w:t>
      </w:r>
    </w:p>
    <w:p w:rsidR="00A30FD1" w:rsidRPr="0022582F" w:rsidRDefault="00A30FD1" w:rsidP="00A30FD1">
      <w:pPr>
        <w:pStyle w:val="Odstavecseseznamem"/>
        <w:numPr>
          <w:ilvl w:val="0"/>
          <w:numId w:val="8"/>
        </w:numPr>
        <w:spacing w:after="0" w:line="240" w:lineRule="auto"/>
        <w:rPr>
          <w:rFonts w:asciiTheme="minorHAnsi" w:hAnsiTheme="minorHAnsi" w:cstheme="minorHAnsi"/>
        </w:rPr>
      </w:pPr>
      <w:r w:rsidRPr="0022582F">
        <w:rPr>
          <w:rFonts w:asciiTheme="minorHAnsi" w:hAnsiTheme="minorHAnsi" w:cstheme="minorHAnsi"/>
        </w:rPr>
        <w:t>Běžný provoz – SCO PČR je plně dostupný ve všech svých funkcích.</w:t>
      </w:r>
    </w:p>
    <w:p w:rsidR="00A30FD1" w:rsidRPr="0022582F" w:rsidRDefault="00A30FD1" w:rsidP="00A30FD1">
      <w:pPr>
        <w:pStyle w:val="Odstavecseseznamem"/>
        <w:numPr>
          <w:ilvl w:val="0"/>
          <w:numId w:val="8"/>
        </w:numPr>
        <w:spacing w:after="0" w:line="240" w:lineRule="auto"/>
        <w:rPr>
          <w:rFonts w:asciiTheme="minorHAnsi" w:hAnsiTheme="minorHAnsi" w:cstheme="minorHAnsi"/>
        </w:rPr>
      </w:pPr>
      <w:r w:rsidRPr="0022582F">
        <w:rPr>
          <w:rFonts w:asciiTheme="minorHAnsi" w:hAnsiTheme="minorHAnsi" w:cstheme="minorHAnsi"/>
        </w:rPr>
        <w:t>Požadavek (Request) - žádost uživatele o informace, konzultační podporu, spolupráci s nefunkčností systému způsobeným třetí stranou apod. prostřednictvím služby Helpdesk. Události kategorie požadavek jsou reprezentovány servisním záznamem se stanovením závažnosti (severity) POŽADAVEK (kategorie D).</w:t>
      </w:r>
    </w:p>
    <w:p w:rsidR="00A30FD1" w:rsidRPr="0022582F" w:rsidRDefault="00A30FD1" w:rsidP="00A30FD1">
      <w:pPr>
        <w:pStyle w:val="Odstavecseseznamem"/>
        <w:numPr>
          <w:ilvl w:val="0"/>
          <w:numId w:val="8"/>
        </w:numPr>
        <w:spacing w:after="0" w:line="240" w:lineRule="auto"/>
        <w:rPr>
          <w:rFonts w:asciiTheme="minorHAnsi" w:hAnsiTheme="minorHAnsi" w:cstheme="minorHAnsi"/>
        </w:rPr>
      </w:pPr>
      <w:r w:rsidRPr="0022582F">
        <w:rPr>
          <w:rFonts w:asciiTheme="minorHAnsi" w:hAnsiTheme="minorHAnsi" w:cstheme="minorHAnsi"/>
        </w:rPr>
        <w:t>Incident – jakákoliv událost, která narušuje, nebo by mohla narušit funkčnost dodávaného plnění. Tyto události jsou reprezentovány servisním záznamem se stanovenou závažností. Za incident se nepovažuje porucha způsobená vyšší mocí, tj. živelnou pohromou, válečným konfliktem nebo teroristickým útokem anebo jinými podobnými událostmi, jež nastaly nezávisle na vůli Zhotovitele a brání mu ve splnění jeho povinností, jestliže nelze rozumně předpokládat, že by zhotovitel tuto překážku nebo její následky odvrátil nebo překonal a dále, že by v době vzniku závazku tuto překážku předvídal. Za vyšší moc se pro potřeby plnění této rámcové smlouvy nepovažuje úder blesku.</w:t>
      </w:r>
    </w:p>
    <w:p w:rsidR="00A30FD1" w:rsidRPr="0022582F" w:rsidRDefault="00A30FD1" w:rsidP="00A30FD1">
      <w:pPr>
        <w:spacing w:after="0" w:line="240" w:lineRule="auto"/>
        <w:rPr>
          <w:rFonts w:asciiTheme="minorHAnsi" w:hAnsiTheme="minorHAnsi" w:cstheme="minorHAnsi"/>
        </w:rPr>
      </w:pPr>
    </w:p>
    <w:p w:rsidR="00A30FD1" w:rsidRPr="00917810" w:rsidRDefault="00A30FD1" w:rsidP="00A30FD1">
      <w:pPr>
        <w:pStyle w:val="Odstavecseseznamem"/>
        <w:numPr>
          <w:ilvl w:val="0"/>
          <w:numId w:val="2"/>
        </w:numPr>
        <w:tabs>
          <w:tab w:val="clear" w:pos="993"/>
          <w:tab w:val="left" w:pos="426"/>
        </w:tabs>
        <w:spacing w:after="0" w:line="240" w:lineRule="auto"/>
        <w:ind w:left="426" w:hanging="426"/>
        <w:rPr>
          <w:rFonts w:asciiTheme="minorHAnsi" w:hAnsiTheme="minorHAnsi" w:cstheme="minorHAnsi"/>
          <w:b/>
          <w:u w:val="single"/>
        </w:rPr>
      </w:pPr>
      <w:r w:rsidRPr="00917810">
        <w:rPr>
          <w:rFonts w:asciiTheme="minorHAnsi" w:hAnsiTheme="minorHAnsi" w:cstheme="minorHAnsi"/>
          <w:b/>
          <w:u w:val="single"/>
        </w:rPr>
        <w:t>Kategorizace servisních záznamů</w:t>
      </w:r>
    </w:p>
    <w:p w:rsidR="00A30FD1" w:rsidRDefault="00A30FD1" w:rsidP="00A30FD1">
      <w:pPr>
        <w:spacing w:after="0" w:line="240" w:lineRule="auto"/>
        <w:rPr>
          <w:rFonts w:asciiTheme="minorHAnsi" w:hAnsiTheme="minorHAnsi" w:cstheme="minorHAnsi"/>
        </w:rPr>
      </w:pPr>
      <w:r w:rsidRPr="0022582F">
        <w:rPr>
          <w:rFonts w:asciiTheme="minorHAnsi" w:hAnsiTheme="minorHAnsi" w:cstheme="minorHAnsi"/>
        </w:rPr>
        <w:t>Závažnost incidentu pro objektová zařízení chráněných objektů může nabývat těchto stupňů (v pořadí od nejvyšší k nejnižší závažnosti):</w:t>
      </w:r>
    </w:p>
    <w:p w:rsidR="00A30FD1" w:rsidRPr="0022582F" w:rsidRDefault="00A30FD1" w:rsidP="00A30FD1">
      <w:pPr>
        <w:spacing w:after="0" w:line="240" w:lineRule="auto"/>
        <w:rPr>
          <w:rFonts w:asciiTheme="minorHAnsi" w:hAnsiTheme="minorHAnsi" w:cstheme="minorHAnsi"/>
        </w:rPr>
      </w:pPr>
    </w:p>
    <w:p w:rsidR="00A30FD1" w:rsidRPr="0022582F" w:rsidRDefault="00A30FD1" w:rsidP="00A30FD1">
      <w:pPr>
        <w:pStyle w:val="Odstavecseseznamem"/>
        <w:tabs>
          <w:tab w:val="clear" w:pos="993"/>
          <w:tab w:val="left" w:pos="284"/>
          <w:tab w:val="left" w:pos="3402"/>
        </w:tabs>
        <w:spacing w:after="0" w:line="240" w:lineRule="auto"/>
        <w:ind w:left="3402" w:hanging="3402"/>
        <w:rPr>
          <w:rFonts w:asciiTheme="minorHAnsi" w:hAnsiTheme="minorHAnsi" w:cstheme="minorHAnsi"/>
        </w:rPr>
      </w:pPr>
      <w:r w:rsidRPr="0022582F">
        <w:rPr>
          <w:rFonts w:asciiTheme="minorHAnsi" w:hAnsiTheme="minorHAnsi" w:cstheme="minorHAnsi"/>
        </w:rPr>
        <w:t>HAVÁRIE (kategorie A) -</w:t>
      </w:r>
      <w:r w:rsidRPr="0022582F">
        <w:rPr>
          <w:rFonts w:asciiTheme="minorHAnsi" w:hAnsiTheme="minorHAnsi" w:cstheme="minorHAnsi"/>
        </w:rPr>
        <w:tab/>
        <w:t>Připojení střeženého objektu k SCO PČR není funkční v takovém rozsahu, že to má za následek znemožnění komunikace mezi SCO PČR a střeženým objektem a jeho monitoring.</w:t>
      </w:r>
    </w:p>
    <w:p w:rsidR="00A30FD1" w:rsidRPr="0022582F" w:rsidRDefault="00A30FD1" w:rsidP="00A30FD1">
      <w:pPr>
        <w:pStyle w:val="Odstavecseseznamem"/>
        <w:tabs>
          <w:tab w:val="clear" w:pos="993"/>
          <w:tab w:val="left" w:pos="284"/>
          <w:tab w:val="left" w:pos="3402"/>
        </w:tabs>
        <w:spacing w:after="0" w:line="240" w:lineRule="auto"/>
        <w:ind w:left="3402" w:hanging="3402"/>
        <w:rPr>
          <w:rFonts w:asciiTheme="minorHAnsi" w:hAnsiTheme="minorHAnsi" w:cstheme="minorHAnsi"/>
        </w:rPr>
      </w:pPr>
      <w:r w:rsidRPr="0022582F">
        <w:rPr>
          <w:rFonts w:asciiTheme="minorHAnsi" w:hAnsiTheme="minorHAnsi" w:cstheme="minorHAnsi"/>
        </w:rPr>
        <w:t>CHYBA (kategorie B) -</w:t>
      </w:r>
      <w:r w:rsidRPr="0022582F">
        <w:rPr>
          <w:rFonts w:asciiTheme="minorHAnsi" w:hAnsiTheme="minorHAnsi" w:cstheme="minorHAnsi"/>
        </w:rPr>
        <w:tab/>
        <w:t>Připojení střeženého objektu k SCO PČR není funkční v takovém rozsahu, že to má za následek jakékoliv omezení komunikace mezi SCO PČR a střeženým objektem. Monitoring objektu a jeho střežení je funkční alespoň po jedné přenosové síti.</w:t>
      </w:r>
    </w:p>
    <w:p w:rsidR="00A30FD1" w:rsidRPr="0022582F" w:rsidRDefault="00A30FD1" w:rsidP="00A30FD1">
      <w:pPr>
        <w:pStyle w:val="Odstavecseseznamem"/>
        <w:tabs>
          <w:tab w:val="clear" w:pos="993"/>
          <w:tab w:val="left" w:pos="284"/>
          <w:tab w:val="left" w:pos="3402"/>
        </w:tabs>
        <w:spacing w:after="0" w:line="240" w:lineRule="auto"/>
        <w:ind w:left="3402" w:hanging="3402"/>
        <w:rPr>
          <w:rFonts w:asciiTheme="minorHAnsi" w:hAnsiTheme="minorHAnsi" w:cstheme="minorHAnsi"/>
        </w:rPr>
      </w:pPr>
      <w:r w:rsidRPr="0022582F">
        <w:rPr>
          <w:rFonts w:asciiTheme="minorHAnsi" w:hAnsiTheme="minorHAnsi" w:cstheme="minorHAnsi"/>
        </w:rPr>
        <w:t>NEDOSTATEK (kategorie C) -</w:t>
      </w:r>
      <w:r w:rsidRPr="0022582F">
        <w:rPr>
          <w:rFonts w:asciiTheme="minorHAnsi" w:hAnsiTheme="minorHAnsi" w:cstheme="minorHAnsi"/>
        </w:rPr>
        <w:tab/>
        <w:t>ostatní drobné incidenty, které nespadají do kategorie A nebo B.</w:t>
      </w:r>
    </w:p>
    <w:p w:rsidR="00A30FD1" w:rsidRPr="0022582F" w:rsidRDefault="00A30FD1" w:rsidP="00A30FD1">
      <w:pPr>
        <w:spacing w:after="0" w:line="240" w:lineRule="auto"/>
        <w:rPr>
          <w:rFonts w:asciiTheme="minorHAnsi" w:hAnsiTheme="minorHAnsi" w:cstheme="minorHAnsi"/>
        </w:rPr>
      </w:pPr>
      <w:r w:rsidRPr="0022582F">
        <w:rPr>
          <w:rFonts w:asciiTheme="minorHAnsi" w:hAnsiTheme="minorHAnsi" w:cstheme="minorHAnsi"/>
        </w:rP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rsidR="00A30FD1" w:rsidRPr="0022582F" w:rsidRDefault="00A30FD1" w:rsidP="00A30FD1">
      <w:pPr>
        <w:spacing w:after="0" w:line="240" w:lineRule="auto"/>
        <w:jc w:val="left"/>
        <w:rPr>
          <w:rFonts w:asciiTheme="minorHAnsi" w:hAnsiTheme="minorHAnsi" w:cstheme="minorHAnsi"/>
        </w:rPr>
      </w:pPr>
    </w:p>
    <w:p w:rsidR="00A30FD1" w:rsidRDefault="00A30FD1" w:rsidP="00A30FD1">
      <w:pPr>
        <w:pStyle w:val="Odstavecseseznamem"/>
        <w:numPr>
          <w:ilvl w:val="0"/>
          <w:numId w:val="2"/>
        </w:numPr>
        <w:tabs>
          <w:tab w:val="clear" w:pos="993"/>
          <w:tab w:val="left" w:pos="426"/>
        </w:tabs>
        <w:spacing w:after="0" w:line="240" w:lineRule="auto"/>
        <w:ind w:left="426" w:hanging="426"/>
        <w:rPr>
          <w:rFonts w:asciiTheme="minorHAnsi" w:hAnsiTheme="minorHAnsi" w:cstheme="minorHAnsi"/>
          <w:b/>
          <w:u w:val="single"/>
        </w:rPr>
      </w:pPr>
      <w:r w:rsidRPr="00917810">
        <w:rPr>
          <w:rFonts w:asciiTheme="minorHAnsi" w:hAnsiTheme="minorHAnsi" w:cstheme="minorHAnsi"/>
          <w:b/>
          <w:u w:val="single"/>
        </w:rPr>
        <w:t>Parametry SLA pro záruční služby na objektová zařízení chráněných objektů:</w:t>
      </w:r>
    </w:p>
    <w:p w:rsidR="00A30FD1" w:rsidRPr="00917810" w:rsidRDefault="00A30FD1" w:rsidP="00A30FD1">
      <w:pPr>
        <w:pStyle w:val="Odstavecseseznamem"/>
        <w:numPr>
          <w:ilvl w:val="0"/>
          <w:numId w:val="0"/>
        </w:numPr>
        <w:tabs>
          <w:tab w:val="clear" w:pos="993"/>
          <w:tab w:val="left" w:pos="426"/>
        </w:tabs>
        <w:spacing w:after="0" w:line="240" w:lineRule="auto"/>
        <w:ind w:left="426"/>
        <w:rPr>
          <w:rFonts w:asciiTheme="minorHAnsi" w:hAnsiTheme="minorHAnsi" w:cstheme="minorHAnsi"/>
          <w:b/>
          <w:u w:val="single"/>
        </w:rPr>
      </w:pPr>
    </w:p>
    <w:tbl>
      <w:tblPr>
        <w:tblStyle w:val="Mkatabulky"/>
        <w:tblW w:w="9067" w:type="dxa"/>
        <w:tblLook w:val="04A0" w:firstRow="1" w:lastRow="0" w:firstColumn="1" w:lastColumn="0" w:noHBand="0" w:noVBand="1"/>
      </w:tblPr>
      <w:tblGrid>
        <w:gridCol w:w="1915"/>
        <w:gridCol w:w="3042"/>
        <w:gridCol w:w="4110"/>
      </w:tblGrid>
      <w:tr w:rsidR="00A30FD1" w:rsidRPr="0022582F" w:rsidTr="00E41469">
        <w:tc>
          <w:tcPr>
            <w:tcW w:w="1915" w:type="dxa"/>
            <w:shd w:val="clear" w:color="auto" w:fill="DBE5F1" w:themeFill="accent1" w:themeFillTint="33"/>
          </w:tcPr>
          <w:p w:rsidR="00A30FD1" w:rsidRPr="00917810" w:rsidRDefault="00A30FD1" w:rsidP="00E41469">
            <w:pPr>
              <w:rPr>
                <w:rFonts w:asciiTheme="minorHAnsi" w:hAnsiTheme="minorHAnsi" w:cstheme="minorHAnsi"/>
                <w:b/>
              </w:rPr>
            </w:pPr>
            <w:r w:rsidRPr="00917810">
              <w:rPr>
                <w:rFonts w:asciiTheme="minorHAnsi" w:hAnsiTheme="minorHAnsi" w:cstheme="minorHAnsi"/>
                <w:b/>
              </w:rPr>
              <w:t>Závažnost</w:t>
            </w:r>
          </w:p>
        </w:tc>
        <w:tc>
          <w:tcPr>
            <w:tcW w:w="3042" w:type="dxa"/>
            <w:shd w:val="clear" w:color="auto" w:fill="DBE5F1" w:themeFill="accent1" w:themeFillTint="33"/>
          </w:tcPr>
          <w:p w:rsidR="00A30FD1" w:rsidRPr="00917810" w:rsidRDefault="00A30FD1" w:rsidP="00E41469">
            <w:pPr>
              <w:rPr>
                <w:rFonts w:asciiTheme="minorHAnsi" w:hAnsiTheme="minorHAnsi" w:cstheme="minorHAnsi"/>
                <w:b/>
              </w:rPr>
            </w:pPr>
            <w:r w:rsidRPr="00917810">
              <w:rPr>
                <w:rFonts w:asciiTheme="minorHAnsi" w:hAnsiTheme="minorHAnsi" w:cstheme="minorHAnsi"/>
                <w:b/>
              </w:rPr>
              <w:t>Doba odezvy</w:t>
            </w:r>
          </w:p>
        </w:tc>
        <w:tc>
          <w:tcPr>
            <w:tcW w:w="4110" w:type="dxa"/>
            <w:shd w:val="clear" w:color="auto" w:fill="DBE5F1" w:themeFill="accent1" w:themeFillTint="33"/>
          </w:tcPr>
          <w:p w:rsidR="00A30FD1" w:rsidRPr="00917810" w:rsidRDefault="00A30FD1" w:rsidP="00E41469">
            <w:pPr>
              <w:rPr>
                <w:rFonts w:asciiTheme="minorHAnsi" w:hAnsiTheme="minorHAnsi" w:cstheme="minorHAnsi"/>
                <w:b/>
              </w:rPr>
            </w:pPr>
            <w:r w:rsidRPr="00917810">
              <w:rPr>
                <w:rFonts w:asciiTheme="minorHAnsi" w:hAnsiTheme="minorHAnsi" w:cstheme="minorHAnsi"/>
                <w:b/>
              </w:rPr>
              <w:t>Doba řešení</w:t>
            </w:r>
          </w:p>
        </w:tc>
      </w:tr>
      <w:tr w:rsidR="00A30FD1" w:rsidRPr="0022582F" w:rsidTr="00E41469">
        <w:tc>
          <w:tcPr>
            <w:tcW w:w="1915" w:type="dxa"/>
          </w:tcPr>
          <w:p w:rsidR="00A30FD1" w:rsidRPr="0022582F" w:rsidRDefault="00A30FD1" w:rsidP="00E41469">
            <w:pPr>
              <w:rPr>
                <w:rFonts w:asciiTheme="minorHAnsi" w:hAnsiTheme="minorHAnsi" w:cstheme="minorHAnsi"/>
              </w:rPr>
            </w:pPr>
            <w:r w:rsidRPr="0022582F">
              <w:rPr>
                <w:rFonts w:asciiTheme="minorHAnsi" w:hAnsiTheme="minorHAnsi" w:cstheme="minorHAnsi"/>
              </w:rPr>
              <w:t>HAVÁRIE (A)</w:t>
            </w:r>
          </w:p>
        </w:tc>
        <w:tc>
          <w:tcPr>
            <w:tcW w:w="3042" w:type="dxa"/>
          </w:tcPr>
          <w:p w:rsidR="00A30FD1" w:rsidRPr="0022582F" w:rsidRDefault="00A30FD1" w:rsidP="00E41469">
            <w:pPr>
              <w:rPr>
                <w:rFonts w:asciiTheme="minorHAnsi" w:hAnsiTheme="minorHAnsi" w:cstheme="minorHAnsi"/>
              </w:rPr>
            </w:pPr>
            <w:r w:rsidRPr="0022582F">
              <w:rPr>
                <w:rFonts w:asciiTheme="minorHAnsi" w:hAnsiTheme="minorHAnsi" w:cstheme="minorHAnsi"/>
              </w:rPr>
              <w:t>Do 9:00 hod. následujícího pracovního dne</w:t>
            </w:r>
          </w:p>
        </w:tc>
        <w:tc>
          <w:tcPr>
            <w:tcW w:w="4110" w:type="dxa"/>
          </w:tcPr>
          <w:p w:rsidR="00A30FD1" w:rsidRPr="0022582F" w:rsidRDefault="00A30FD1" w:rsidP="00E41469">
            <w:pPr>
              <w:rPr>
                <w:rFonts w:asciiTheme="minorHAnsi" w:hAnsiTheme="minorHAnsi" w:cstheme="minorHAnsi"/>
              </w:rPr>
            </w:pPr>
            <w:r w:rsidRPr="0022582F">
              <w:rPr>
                <w:rFonts w:asciiTheme="minorHAnsi" w:hAnsiTheme="minorHAnsi" w:cstheme="minorHAnsi"/>
              </w:rPr>
              <w:t>Do konce následujícího pracovního dne</w:t>
            </w:r>
          </w:p>
        </w:tc>
      </w:tr>
      <w:tr w:rsidR="00A30FD1" w:rsidRPr="0022582F" w:rsidTr="00E41469">
        <w:tc>
          <w:tcPr>
            <w:tcW w:w="1915" w:type="dxa"/>
          </w:tcPr>
          <w:p w:rsidR="00A30FD1" w:rsidRPr="0022582F" w:rsidRDefault="00A30FD1" w:rsidP="00E41469">
            <w:pPr>
              <w:rPr>
                <w:rFonts w:asciiTheme="minorHAnsi" w:hAnsiTheme="minorHAnsi" w:cstheme="minorHAnsi"/>
              </w:rPr>
            </w:pPr>
            <w:r w:rsidRPr="0022582F">
              <w:rPr>
                <w:rFonts w:asciiTheme="minorHAnsi" w:hAnsiTheme="minorHAnsi" w:cstheme="minorHAnsi"/>
              </w:rPr>
              <w:t>CHYBA (B)</w:t>
            </w:r>
          </w:p>
        </w:tc>
        <w:tc>
          <w:tcPr>
            <w:tcW w:w="3042" w:type="dxa"/>
          </w:tcPr>
          <w:p w:rsidR="00A30FD1" w:rsidRPr="0022582F" w:rsidRDefault="00A30FD1" w:rsidP="00E41469">
            <w:pPr>
              <w:rPr>
                <w:rFonts w:asciiTheme="minorHAnsi" w:hAnsiTheme="minorHAnsi" w:cstheme="minorHAnsi"/>
              </w:rPr>
            </w:pPr>
            <w:r w:rsidRPr="0022582F">
              <w:rPr>
                <w:rFonts w:asciiTheme="minorHAnsi" w:hAnsiTheme="minorHAnsi" w:cstheme="minorHAnsi"/>
              </w:rPr>
              <w:t>Do 9:00 hod. následujícího pracovního dne</w:t>
            </w:r>
          </w:p>
        </w:tc>
        <w:tc>
          <w:tcPr>
            <w:tcW w:w="4110" w:type="dxa"/>
          </w:tcPr>
          <w:p w:rsidR="00A30FD1" w:rsidRPr="0022582F" w:rsidRDefault="00A30FD1" w:rsidP="00E41469">
            <w:pPr>
              <w:rPr>
                <w:rFonts w:asciiTheme="minorHAnsi" w:hAnsiTheme="minorHAnsi" w:cstheme="minorHAnsi"/>
              </w:rPr>
            </w:pPr>
            <w:r w:rsidRPr="0022582F">
              <w:rPr>
                <w:rFonts w:asciiTheme="minorHAnsi" w:hAnsiTheme="minorHAnsi" w:cstheme="minorHAnsi"/>
              </w:rPr>
              <w:t>Do konce 3. pracovního dne</w:t>
            </w:r>
          </w:p>
        </w:tc>
      </w:tr>
      <w:tr w:rsidR="00A30FD1" w:rsidRPr="0022582F" w:rsidTr="00E41469">
        <w:tc>
          <w:tcPr>
            <w:tcW w:w="1915" w:type="dxa"/>
          </w:tcPr>
          <w:p w:rsidR="00A30FD1" w:rsidRPr="0022582F" w:rsidRDefault="00A30FD1" w:rsidP="00E41469">
            <w:pPr>
              <w:rPr>
                <w:rFonts w:asciiTheme="minorHAnsi" w:hAnsiTheme="minorHAnsi" w:cstheme="minorHAnsi"/>
              </w:rPr>
            </w:pPr>
            <w:r w:rsidRPr="0022582F">
              <w:rPr>
                <w:rFonts w:asciiTheme="minorHAnsi" w:hAnsiTheme="minorHAnsi" w:cstheme="minorHAnsi"/>
              </w:rPr>
              <w:t>NEDOSTATEK (C)</w:t>
            </w:r>
          </w:p>
        </w:tc>
        <w:tc>
          <w:tcPr>
            <w:tcW w:w="3042" w:type="dxa"/>
          </w:tcPr>
          <w:p w:rsidR="00A30FD1" w:rsidRPr="0022582F" w:rsidRDefault="00A30FD1" w:rsidP="00E41469">
            <w:pPr>
              <w:rPr>
                <w:rFonts w:asciiTheme="minorHAnsi" w:hAnsiTheme="minorHAnsi" w:cstheme="minorHAnsi"/>
              </w:rPr>
            </w:pPr>
            <w:r w:rsidRPr="0022582F">
              <w:rPr>
                <w:rFonts w:asciiTheme="minorHAnsi" w:hAnsiTheme="minorHAnsi" w:cstheme="minorHAnsi"/>
              </w:rPr>
              <w:t xml:space="preserve">Do konce následujícího </w:t>
            </w:r>
            <w:r w:rsidRPr="0022582F">
              <w:rPr>
                <w:rFonts w:asciiTheme="minorHAnsi" w:hAnsiTheme="minorHAnsi" w:cstheme="minorHAnsi"/>
              </w:rPr>
              <w:lastRenderedPageBreak/>
              <w:t>pracovního dne</w:t>
            </w:r>
          </w:p>
        </w:tc>
        <w:tc>
          <w:tcPr>
            <w:tcW w:w="4110" w:type="dxa"/>
          </w:tcPr>
          <w:p w:rsidR="00A30FD1" w:rsidRPr="0022582F" w:rsidRDefault="00A30FD1" w:rsidP="00E41469">
            <w:pPr>
              <w:rPr>
                <w:rFonts w:asciiTheme="minorHAnsi" w:hAnsiTheme="minorHAnsi" w:cstheme="minorHAnsi"/>
              </w:rPr>
            </w:pPr>
            <w:r w:rsidRPr="0022582F">
              <w:rPr>
                <w:rFonts w:asciiTheme="minorHAnsi" w:hAnsiTheme="minorHAnsi" w:cstheme="minorHAnsi"/>
              </w:rPr>
              <w:lastRenderedPageBreak/>
              <w:t xml:space="preserve">Přidělení pracovníka na řešení do 1 </w:t>
            </w:r>
            <w:r w:rsidRPr="0022582F">
              <w:rPr>
                <w:rFonts w:asciiTheme="minorHAnsi" w:hAnsiTheme="minorHAnsi" w:cstheme="minorHAnsi"/>
              </w:rPr>
              <w:lastRenderedPageBreak/>
              <w:t>pracovního dne, návrh postupu řešení do 2 pracovních dnů, realizace řešení do 20-ti pracovních dnů, nebo dle dohody.</w:t>
            </w:r>
          </w:p>
        </w:tc>
      </w:tr>
    </w:tbl>
    <w:p w:rsidR="00A30FD1" w:rsidRPr="00917810" w:rsidRDefault="00A30FD1" w:rsidP="00A30FD1">
      <w:pPr>
        <w:pStyle w:val="Odstavecseseznamem"/>
        <w:numPr>
          <w:ilvl w:val="0"/>
          <w:numId w:val="0"/>
        </w:numPr>
        <w:tabs>
          <w:tab w:val="clear" w:pos="993"/>
          <w:tab w:val="left" w:pos="426"/>
        </w:tabs>
        <w:spacing w:after="0" w:line="240" w:lineRule="auto"/>
        <w:ind w:left="426"/>
        <w:rPr>
          <w:rFonts w:asciiTheme="minorHAnsi" w:hAnsiTheme="minorHAnsi" w:cstheme="minorHAnsi"/>
          <w:b/>
          <w:i/>
          <w:u w:val="single"/>
        </w:rPr>
      </w:pPr>
    </w:p>
    <w:p w:rsidR="00A30FD1" w:rsidRPr="00917810" w:rsidRDefault="00A30FD1" w:rsidP="00A30FD1">
      <w:pPr>
        <w:pStyle w:val="Odstavecseseznamem"/>
        <w:numPr>
          <w:ilvl w:val="0"/>
          <w:numId w:val="2"/>
        </w:numPr>
        <w:tabs>
          <w:tab w:val="clear" w:pos="993"/>
          <w:tab w:val="left" w:pos="426"/>
        </w:tabs>
        <w:spacing w:after="0" w:line="240" w:lineRule="auto"/>
        <w:ind w:left="426" w:hanging="426"/>
        <w:rPr>
          <w:rFonts w:asciiTheme="minorHAnsi" w:hAnsiTheme="minorHAnsi" w:cstheme="minorHAnsi"/>
          <w:b/>
          <w:u w:val="single"/>
        </w:rPr>
      </w:pPr>
      <w:r w:rsidRPr="00917810">
        <w:rPr>
          <w:rFonts w:asciiTheme="minorHAnsi" w:hAnsiTheme="minorHAnsi" w:cstheme="minorHAnsi"/>
          <w:b/>
          <w:u w:val="single"/>
        </w:rPr>
        <w:t>Parametry SLA pro Servisní podporu Silver</w:t>
      </w:r>
    </w:p>
    <w:p w:rsidR="00A30FD1" w:rsidRPr="00917810" w:rsidRDefault="00A30FD1" w:rsidP="00A30FD1">
      <w:pPr>
        <w:spacing w:after="0" w:line="240" w:lineRule="auto"/>
        <w:rPr>
          <w:rFonts w:asciiTheme="minorHAnsi" w:hAnsiTheme="minorHAnsi" w:cstheme="minorHAnsi"/>
        </w:rPr>
      </w:pPr>
      <w:r w:rsidRPr="00917810">
        <w:rPr>
          <w:rFonts w:asciiTheme="minorHAnsi" w:hAnsiTheme="minorHAnsi" w:cstheme="minorHAnsi"/>
        </w:rPr>
        <w:t>Dostupnost servisní podpory Silver a parametry SLA</w:t>
      </w:r>
    </w:p>
    <w:p w:rsidR="00A30FD1" w:rsidRPr="00917810" w:rsidRDefault="00A30FD1" w:rsidP="00A30FD1">
      <w:pPr>
        <w:spacing w:after="0" w:line="240" w:lineRule="auto"/>
        <w:rPr>
          <w:rFonts w:asciiTheme="minorHAnsi" w:hAnsiTheme="minorHAnsi" w:cstheme="minorHAnsi"/>
        </w:rPr>
      </w:pPr>
      <w:r w:rsidRPr="00917810">
        <w:rPr>
          <w:rFonts w:asciiTheme="minorHAnsi" w:hAnsiTheme="minorHAnsi" w:cstheme="minorHAnsi"/>
        </w:rP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rsidR="00A30FD1" w:rsidRPr="00917810" w:rsidRDefault="00A30FD1" w:rsidP="00A30FD1">
      <w:pPr>
        <w:spacing w:after="0" w:line="240" w:lineRule="auto"/>
        <w:rPr>
          <w:rFonts w:asciiTheme="minorHAnsi" w:hAnsiTheme="minorHAnsi" w:cstheme="minorHAnsi"/>
        </w:rPr>
      </w:pPr>
      <w:r w:rsidRPr="00917810">
        <w:rPr>
          <w:rFonts w:asciiTheme="minorHAnsi" w:hAnsiTheme="minorHAnsi" w:cstheme="minorHAnsi"/>
        </w:rPr>
        <w:t>Požadavky na servisní podporu typu SILVER</w:t>
      </w:r>
    </w:p>
    <w:tbl>
      <w:tblPr>
        <w:tblStyle w:val="Mkatabulky"/>
        <w:tblW w:w="0" w:type="auto"/>
        <w:tblLook w:val="04A0" w:firstRow="1" w:lastRow="0" w:firstColumn="1" w:lastColumn="0" w:noHBand="0" w:noVBand="1"/>
      </w:tblPr>
      <w:tblGrid>
        <w:gridCol w:w="2122"/>
        <w:gridCol w:w="2835"/>
        <w:gridCol w:w="4105"/>
      </w:tblGrid>
      <w:tr w:rsidR="00A30FD1" w:rsidRPr="00917810" w:rsidTr="00E41469">
        <w:tc>
          <w:tcPr>
            <w:tcW w:w="2122" w:type="dxa"/>
          </w:tcPr>
          <w:p w:rsidR="00A30FD1" w:rsidRPr="00917810" w:rsidRDefault="00A30FD1" w:rsidP="00E41469">
            <w:pPr>
              <w:rPr>
                <w:rFonts w:asciiTheme="minorHAnsi" w:hAnsiTheme="minorHAnsi" w:cstheme="minorHAnsi"/>
              </w:rPr>
            </w:pPr>
            <w:r w:rsidRPr="00917810">
              <w:rPr>
                <w:rFonts w:asciiTheme="minorHAnsi" w:hAnsiTheme="minorHAnsi" w:cstheme="minorHAnsi"/>
              </w:rPr>
              <w:t>Závažnost</w:t>
            </w:r>
          </w:p>
        </w:tc>
        <w:tc>
          <w:tcPr>
            <w:tcW w:w="2835" w:type="dxa"/>
          </w:tcPr>
          <w:p w:rsidR="00A30FD1" w:rsidRPr="00917810" w:rsidRDefault="00A30FD1" w:rsidP="00E41469">
            <w:pPr>
              <w:rPr>
                <w:rFonts w:asciiTheme="minorHAnsi" w:hAnsiTheme="minorHAnsi" w:cstheme="minorHAnsi"/>
              </w:rPr>
            </w:pPr>
            <w:r w:rsidRPr="00917810">
              <w:rPr>
                <w:rFonts w:asciiTheme="minorHAnsi" w:hAnsiTheme="minorHAnsi" w:cstheme="minorHAnsi"/>
              </w:rPr>
              <w:t>Doba odezvy</w:t>
            </w:r>
          </w:p>
        </w:tc>
        <w:tc>
          <w:tcPr>
            <w:tcW w:w="4105" w:type="dxa"/>
          </w:tcPr>
          <w:p w:rsidR="00A30FD1" w:rsidRPr="00917810" w:rsidRDefault="00A30FD1" w:rsidP="00E41469">
            <w:pPr>
              <w:rPr>
                <w:rFonts w:asciiTheme="minorHAnsi" w:hAnsiTheme="minorHAnsi" w:cstheme="minorHAnsi"/>
              </w:rPr>
            </w:pPr>
            <w:r w:rsidRPr="00917810">
              <w:rPr>
                <w:rFonts w:asciiTheme="minorHAnsi" w:hAnsiTheme="minorHAnsi" w:cstheme="minorHAnsi"/>
              </w:rPr>
              <w:t>Doba řešení</w:t>
            </w:r>
          </w:p>
        </w:tc>
      </w:tr>
      <w:tr w:rsidR="00A30FD1" w:rsidRPr="00917810" w:rsidTr="00E41469">
        <w:tc>
          <w:tcPr>
            <w:tcW w:w="2122" w:type="dxa"/>
          </w:tcPr>
          <w:p w:rsidR="00A30FD1" w:rsidRPr="00917810" w:rsidRDefault="00A30FD1" w:rsidP="00E41469">
            <w:pPr>
              <w:rPr>
                <w:rFonts w:asciiTheme="minorHAnsi" w:hAnsiTheme="minorHAnsi" w:cstheme="minorHAnsi"/>
              </w:rPr>
            </w:pPr>
            <w:r w:rsidRPr="00917810">
              <w:rPr>
                <w:rFonts w:asciiTheme="minorHAnsi" w:hAnsiTheme="minorHAnsi" w:cstheme="minorHAnsi"/>
              </w:rPr>
              <w:t>HAVÁRIE (A)</w:t>
            </w:r>
          </w:p>
        </w:tc>
        <w:tc>
          <w:tcPr>
            <w:tcW w:w="2835" w:type="dxa"/>
          </w:tcPr>
          <w:p w:rsidR="00A30FD1" w:rsidRPr="00917810" w:rsidRDefault="00A30FD1" w:rsidP="00E41469">
            <w:pPr>
              <w:rPr>
                <w:rFonts w:asciiTheme="minorHAnsi" w:hAnsiTheme="minorHAnsi" w:cstheme="minorHAnsi"/>
              </w:rPr>
            </w:pPr>
            <w:r w:rsidRPr="00917810">
              <w:rPr>
                <w:rFonts w:asciiTheme="minorHAnsi" w:hAnsiTheme="minorHAnsi" w:cstheme="minorHAnsi"/>
              </w:rPr>
              <w:t>Do 1 hod.</w:t>
            </w:r>
          </w:p>
        </w:tc>
        <w:tc>
          <w:tcPr>
            <w:tcW w:w="4105" w:type="dxa"/>
          </w:tcPr>
          <w:p w:rsidR="00A30FD1" w:rsidRPr="00917810" w:rsidRDefault="00A30FD1" w:rsidP="00E41469">
            <w:pPr>
              <w:rPr>
                <w:rFonts w:asciiTheme="minorHAnsi" w:hAnsiTheme="minorHAnsi" w:cstheme="minorHAnsi"/>
              </w:rPr>
            </w:pPr>
            <w:r w:rsidRPr="00917810">
              <w:rPr>
                <w:rFonts w:asciiTheme="minorHAnsi" w:hAnsiTheme="minorHAnsi" w:cstheme="minorHAnsi"/>
              </w:rPr>
              <w:t>Do 24 hod.</w:t>
            </w:r>
          </w:p>
        </w:tc>
      </w:tr>
      <w:tr w:rsidR="00A30FD1" w:rsidRPr="00917810" w:rsidTr="00E41469">
        <w:tc>
          <w:tcPr>
            <w:tcW w:w="2122" w:type="dxa"/>
          </w:tcPr>
          <w:p w:rsidR="00A30FD1" w:rsidRPr="00917810" w:rsidRDefault="00A30FD1" w:rsidP="00E41469">
            <w:pPr>
              <w:rPr>
                <w:rFonts w:asciiTheme="minorHAnsi" w:hAnsiTheme="minorHAnsi" w:cstheme="minorHAnsi"/>
              </w:rPr>
            </w:pPr>
            <w:r w:rsidRPr="00917810">
              <w:rPr>
                <w:rFonts w:asciiTheme="minorHAnsi" w:hAnsiTheme="minorHAnsi" w:cstheme="minorHAnsi"/>
              </w:rPr>
              <w:t>CHYBA (B)</w:t>
            </w:r>
          </w:p>
        </w:tc>
        <w:tc>
          <w:tcPr>
            <w:tcW w:w="2835" w:type="dxa"/>
          </w:tcPr>
          <w:p w:rsidR="00A30FD1" w:rsidRPr="00917810" w:rsidRDefault="00A30FD1" w:rsidP="00E41469">
            <w:pPr>
              <w:rPr>
                <w:rFonts w:asciiTheme="minorHAnsi" w:hAnsiTheme="minorHAnsi" w:cstheme="minorHAnsi"/>
              </w:rPr>
            </w:pPr>
            <w:r w:rsidRPr="00917810">
              <w:rPr>
                <w:rFonts w:asciiTheme="minorHAnsi" w:hAnsiTheme="minorHAnsi" w:cstheme="minorHAnsi"/>
              </w:rPr>
              <w:t>Do 4 hod.</w:t>
            </w:r>
          </w:p>
        </w:tc>
        <w:tc>
          <w:tcPr>
            <w:tcW w:w="4105" w:type="dxa"/>
          </w:tcPr>
          <w:p w:rsidR="00A30FD1" w:rsidRPr="00917810" w:rsidRDefault="00A30FD1" w:rsidP="00E41469">
            <w:pPr>
              <w:rPr>
                <w:rFonts w:asciiTheme="minorHAnsi" w:hAnsiTheme="minorHAnsi" w:cstheme="minorHAnsi"/>
              </w:rPr>
            </w:pPr>
            <w:r w:rsidRPr="00917810">
              <w:rPr>
                <w:rFonts w:asciiTheme="minorHAnsi" w:hAnsiTheme="minorHAnsi" w:cstheme="minorHAnsi"/>
              </w:rPr>
              <w:t>Do konce následujícího pracovního dne</w:t>
            </w:r>
          </w:p>
        </w:tc>
      </w:tr>
      <w:tr w:rsidR="00A30FD1" w:rsidRPr="0022582F" w:rsidTr="00E41469">
        <w:tc>
          <w:tcPr>
            <w:tcW w:w="2122" w:type="dxa"/>
          </w:tcPr>
          <w:p w:rsidR="00A30FD1" w:rsidRPr="00917810" w:rsidRDefault="00A30FD1" w:rsidP="00E41469">
            <w:pPr>
              <w:rPr>
                <w:rFonts w:asciiTheme="minorHAnsi" w:hAnsiTheme="minorHAnsi" w:cstheme="minorHAnsi"/>
              </w:rPr>
            </w:pPr>
            <w:r w:rsidRPr="00917810">
              <w:rPr>
                <w:rFonts w:asciiTheme="minorHAnsi" w:hAnsiTheme="minorHAnsi" w:cstheme="minorHAnsi"/>
              </w:rPr>
              <w:t>POŽADAVEK (D)</w:t>
            </w:r>
          </w:p>
        </w:tc>
        <w:tc>
          <w:tcPr>
            <w:tcW w:w="2835" w:type="dxa"/>
          </w:tcPr>
          <w:p w:rsidR="00A30FD1" w:rsidRPr="00917810" w:rsidRDefault="00A30FD1" w:rsidP="00E41469">
            <w:pPr>
              <w:rPr>
                <w:rFonts w:asciiTheme="minorHAnsi" w:hAnsiTheme="minorHAnsi" w:cstheme="minorHAnsi"/>
              </w:rPr>
            </w:pPr>
            <w:r w:rsidRPr="00917810">
              <w:rPr>
                <w:rFonts w:asciiTheme="minorHAnsi" w:hAnsiTheme="minorHAnsi" w:cstheme="minorHAnsi"/>
              </w:rPr>
              <w:t>Do konce následujícího pracovního dne</w:t>
            </w:r>
          </w:p>
        </w:tc>
        <w:tc>
          <w:tcPr>
            <w:tcW w:w="4105" w:type="dxa"/>
          </w:tcPr>
          <w:p w:rsidR="00A30FD1" w:rsidRPr="0022582F" w:rsidRDefault="00A30FD1" w:rsidP="00E41469">
            <w:pPr>
              <w:rPr>
                <w:rFonts w:asciiTheme="minorHAnsi" w:hAnsiTheme="minorHAnsi" w:cstheme="minorHAnsi"/>
              </w:rPr>
            </w:pPr>
            <w:r w:rsidRPr="00917810">
              <w:rPr>
                <w:rFonts w:asciiTheme="minorHAnsi" w:hAnsiTheme="minorHAnsi" w:cstheme="minorHAnsi"/>
              </w:rPr>
              <w:t>Přidělení pracovníka na řešení do 1 pracovního dne, návrh postupu řešení do 2 pracovních dnů, realizace řešení do 20-ti pracovních dnů, nebo dle dohody.</w:t>
            </w:r>
          </w:p>
        </w:tc>
      </w:tr>
    </w:tbl>
    <w:p w:rsidR="00A30FD1" w:rsidRPr="0022582F" w:rsidRDefault="00A30FD1" w:rsidP="00A30FD1">
      <w:pPr>
        <w:spacing w:after="0" w:line="240" w:lineRule="auto"/>
        <w:rPr>
          <w:rFonts w:asciiTheme="minorHAnsi" w:hAnsiTheme="minorHAnsi" w:cstheme="minorHAnsi"/>
        </w:rPr>
      </w:pPr>
    </w:p>
    <w:p w:rsidR="00A30FD1" w:rsidRPr="00EE7195" w:rsidRDefault="00A30FD1" w:rsidP="00A30FD1">
      <w:pPr>
        <w:spacing w:after="0" w:line="240" w:lineRule="auto"/>
        <w:rPr>
          <w:rFonts w:asciiTheme="minorHAnsi" w:hAnsiTheme="minorHAnsi" w:cstheme="minorHAnsi"/>
          <w:b/>
        </w:rPr>
      </w:pPr>
      <w:r w:rsidRPr="00EE7195">
        <w:rPr>
          <w:rFonts w:asciiTheme="minorHAnsi" w:hAnsiTheme="minorHAnsi" w:cstheme="minorHAnsi"/>
          <w:b/>
        </w:rPr>
        <w:t>Sankce</w:t>
      </w:r>
    </w:p>
    <w:p w:rsidR="00A30FD1" w:rsidRPr="0022582F" w:rsidRDefault="00A30FD1" w:rsidP="00A30FD1">
      <w:pPr>
        <w:spacing w:after="0" w:line="240" w:lineRule="auto"/>
        <w:rPr>
          <w:rFonts w:asciiTheme="minorHAnsi" w:hAnsiTheme="minorHAnsi" w:cstheme="minorHAnsi"/>
        </w:rPr>
      </w:pPr>
      <w:r w:rsidRPr="0022582F">
        <w:rPr>
          <w:rFonts w:asciiTheme="minorHAnsi" w:hAnsiTheme="minorHAnsi" w:cstheme="minorHAnsi"/>
        </w:rPr>
        <w:t>Při třetím a každém dalším incidentu kategorie A u objektového zařízení za posledních 365 kalendářních dnů, vzniká objednateli právo na smluvní pokutu vůči zhotoviteli ve výši 5.000,- Kč.</w:t>
      </w:r>
      <w:r>
        <w:rPr>
          <w:rFonts w:asciiTheme="minorHAnsi" w:hAnsiTheme="minorHAnsi" w:cstheme="minorHAnsi"/>
        </w:rPr>
        <w:t xml:space="preserve"> </w:t>
      </w:r>
      <w:r w:rsidRPr="0022582F">
        <w:rPr>
          <w:rFonts w:asciiTheme="minorHAnsi" w:hAnsiTheme="minorHAnsi" w:cstheme="minorHAnsi"/>
        </w:rPr>
        <w:t>Při šestém a každém dalším incidentu kategorie B u objektového zařízení za posledních 365 kalendářních dnů, vzniká objednateli právo na smluvní pokutu vůči zhotoviteli ve výši 2.000,- Kč.</w:t>
      </w:r>
    </w:p>
    <w:p w:rsidR="00406E7B" w:rsidRDefault="00406E7B"/>
    <w:sectPr w:rsidR="00406E7B" w:rsidSect="00406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255EC"/>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E353234"/>
    <w:multiLevelType w:val="hybridMultilevel"/>
    <w:tmpl w:val="73E47DD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5602627"/>
    <w:multiLevelType w:val="hybridMultilevel"/>
    <w:tmpl w:val="1396D30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2"/>
  </w:compat>
  <w:rsids>
    <w:rsidRoot w:val="00A30FD1"/>
    <w:rsid w:val="00406E7B"/>
    <w:rsid w:val="005E7010"/>
    <w:rsid w:val="00A30FD1"/>
    <w:rsid w:val="00F503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0FD1"/>
    <w:pPr>
      <w:spacing w:after="160" w:line="259" w:lineRule="auto"/>
      <w:jc w:val="both"/>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uiPriority w:val="11"/>
    <w:qFormat/>
    <w:rsid w:val="00A30FD1"/>
    <w:pPr>
      <w:numPr>
        <w:ilvl w:val="1"/>
      </w:numPr>
    </w:pPr>
    <w:rPr>
      <w:rFonts w:eastAsiaTheme="minorEastAsia"/>
      <w:b/>
    </w:rPr>
  </w:style>
  <w:style w:type="character" w:customStyle="1" w:styleId="PodtitulChar">
    <w:name w:val="Podtitul Char"/>
    <w:basedOn w:val="Standardnpsmoodstavce"/>
    <w:link w:val="Podtitul"/>
    <w:uiPriority w:val="11"/>
    <w:rsid w:val="00A30FD1"/>
    <w:rPr>
      <w:rFonts w:ascii="Arial" w:eastAsiaTheme="minorEastAsia" w:hAnsi="Arial"/>
      <w:b/>
    </w:rPr>
  </w:style>
  <w:style w:type="paragraph" w:styleId="Odstavecseseznamem">
    <w:name w:val="List Paragraph"/>
    <w:basedOn w:val="Normln"/>
    <w:uiPriority w:val="34"/>
    <w:qFormat/>
    <w:rsid w:val="00A30FD1"/>
    <w:pPr>
      <w:numPr>
        <w:numId w:val="3"/>
      </w:numPr>
      <w:tabs>
        <w:tab w:val="left" w:pos="993"/>
      </w:tabs>
      <w:spacing w:after="60"/>
    </w:pPr>
  </w:style>
  <w:style w:type="table" w:styleId="Mkatabulky">
    <w:name w:val="Table Grid"/>
    <w:basedOn w:val="Normlntabulka"/>
    <w:uiPriority w:val="39"/>
    <w:rsid w:val="00A30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6333</Characters>
  <Application>Microsoft Office Word</Application>
  <DocSecurity>0</DocSecurity>
  <Lines>52</Lines>
  <Paragraphs>14</Paragraphs>
  <ScaleCrop>false</ScaleCrop>
  <Company>ATC</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Spokova</cp:lastModifiedBy>
  <cp:revision>2</cp:revision>
  <dcterms:created xsi:type="dcterms:W3CDTF">2021-12-09T08:43:00Z</dcterms:created>
  <dcterms:modified xsi:type="dcterms:W3CDTF">2021-12-09T08:43:00Z</dcterms:modified>
</cp:coreProperties>
</file>