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9B5520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8259ED">
        <w:rPr>
          <w:rFonts w:ascii="Arial" w:hAnsi="Arial" w:cs="Arial"/>
          <w:b/>
          <w:sz w:val="22"/>
          <w:szCs w:val="22"/>
        </w:rPr>
        <w:t>736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259ED" w:rsidRPr="008259ED" w:rsidRDefault="008259ED" w:rsidP="008259ED">
      <w:pPr>
        <w:jc w:val="center"/>
        <w:rPr>
          <w:rFonts w:ascii="Arial" w:hAnsi="Arial" w:cs="Arial"/>
          <w:b/>
          <w:sz w:val="22"/>
        </w:rPr>
      </w:pPr>
      <w:r w:rsidRPr="008259ED">
        <w:rPr>
          <w:rFonts w:ascii="Arial" w:hAnsi="Arial" w:cs="Arial"/>
          <w:b/>
          <w:sz w:val="22"/>
        </w:rPr>
        <w:t xml:space="preserve">MVN Nové </w:t>
      </w:r>
      <w:proofErr w:type="gramStart"/>
      <w:r w:rsidRPr="008259ED">
        <w:rPr>
          <w:rFonts w:ascii="Arial" w:hAnsi="Arial" w:cs="Arial"/>
          <w:b/>
          <w:sz w:val="22"/>
        </w:rPr>
        <w:t>Stanovice - funkční</w:t>
      </w:r>
      <w:proofErr w:type="gramEnd"/>
      <w:r w:rsidRPr="008259ED">
        <w:rPr>
          <w:rFonts w:ascii="Arial" w:hAnsi="Arial" w:cs="Arial"/>
          <w:b/>
          <w:sz w:val="22"/>
        </w:rPr>
        <w:t xml:space="preserve"> objekt – projektová dokumentace (DSP)</w:t>
      </w:r>
    </w:p>
    <w:p w:rsidR="00B56089" w:rsidRDefault="00B56089" w:rsidP="00B56089">
      <w:pPr>
        <w:pStyle w:val="Zkladntext"/>
        <w:spacing w:before="120"/>
        <w:jc w:val="center"/>
        <w:rPr>
          <w:b/>
          <w:sz w:val="28"/>
          <w:szCs w:val="28"/>
        </w:rPr>
      </w:pPr>
    </w:p>
    <w:p w:rsidR="00A948BD" w:rsidRPr="00A948BD" w:rsidRDefault="00A948BD" w:rsidP="00A948BD">
      <w:pPr>
        <w:jc w:val="center"/>
        <w:rPr>
          <w:rFonts w:ascii="Arial" w:hAnsi="Arial" w:cs="Arial"/>
          <w:b/>
          <w:sz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76742B" w:rsidRPr="00E3123B" w:rsidRDefault="0076742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B2A0C" w:rsidRDefault="00C0093B" w:rsidP="00AF6FFA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F6FFA" w:rsidRDefault="00AF6FFA" w:rsidP="00AF6FFA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F6FFA" w:rsidRDefault="00AF6FFA" w:rsidP="00AF6FFA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3236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AF6FFA" w:rsidRPr="00D322C0" w:rsidRDefault="00AF6FF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AF6FFA" w:rsidRPr="00D322C0" w:rsidRDefault="00AF6FF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259ED" w:rsidRPr="008259ED" w:rsidRDefault="00AB3455" w:rsidP="009B5520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B3455">
        <w:rPr>
          <w:rFonts w:ascii="Arial" w:hAnsi="Arial" w:cs="Arial"/>
          <w:b/>
          <w:sz w:val="22"/>
          <w:szCs w:val="22"/>
        </w:rPr>
        <w:t>Zhotovitel:</w:t>
      </w:r>
      <w:r w:rsidRPr="00AE5CF0">
        <w:rPr>
          <w:rFonts w:cs="Arial"/>
          <w:b/>
          <w:bCs/>
          <w:szCs w:val="22"/>
        </w:rPr>
        <w:tab/>
      </w:r>
      <w:r w:rsidR="008259ED" w:rsidRPr="008259ED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="008259ED" w:rsidRPr="008259ED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="008259ED" w:rsidRPr="008259ED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="008259ED" w:rsidRPr="008259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9B5520" w:rsidRPr="008259ED" w:rsidRDefault="009B5520" w:rsidP="009B5520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5520">
        <w:rPr>
          <w:rFonts w:ascii="Arial" w:hAnsi="Arial" w:cs="Arial"/>
          <w:sz w:val="22"/>
          <w:szCs w:val="22"/>
        </w:rPr>
        <w:t>Sídlo:</w:t>
      </w:r>
      <w:r>
        <w:rPr>
          <w:rFonts w:cs="Arial"/>
          <w:b/>
          <w:szCs w:val="22"/>
        </w:rPr>
        <w:tab/>
      </w:r>
      <w:r w:rsidR="008259ED" w:rsidRPr="008259ED">
        <w:rPr>
          <w:rFonts w:ascii="Arial" w:hAnsi="Arial" w:cs="Arial"/>
          <w:color w:val="000000"/>
          <w:sz w:val="22"/>
          <w:szCs w:val="22"/>
        </w:rPr>
        <w:t>Klíšská 1334/12, 400 01 Ústí nad Labem</w:t>
      </w:r>
    </w:p>
    <w:p w:rsidR="008259ED" w:rsidRPr="008259ED" w:rsidRDefault="008259ED" w:rsidP="008259ED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3FE9">
        <w:rPr>
          <w:rFonts w:ascii="Arial CE" w:hAnsi="Arial CE" w:cs="Arial"/>
          <w:szCs w:val="22"/>
        </w:rPr>
        <w:t>IČO:</w:t>
      </w:r>
      <w:r w:rsidRPr="00B63FE9">
        <w:rPr>
          <w:rFonts w:ascii="Arial CE" w:hAnsi="Arial CE" w:cs="Arial"/>
          <w:szCs w:val="22"/>
        </w:rPr>
        <w:tab/>
      </w:r>
      <w:r w:rsidRPr="008259ED">
        <w:rPr>
          <w:rFonts w:ascii="Arial" w:hAnsi="Arial" w:cs="Arial"/>
          <w:color w:val="000000"/>
          <w:sz w:val="22"/>
          <w:szCs w:val="22"/>
        </w:rPr>
        <w:t>44567430</w:t>
      </w:r>
    </w:p>
    <w:p w:rsidR="008259ED" w:rsidRPr="00B63FE9" w:rsidRDefault="008259ED" w:rsidP="008259ED">
      <w:pPr>
        <w:tabs>
          <w:tab w:val="left" w:pos="3960"/>
        </w:tabs>
        <w:rPr>
          <w:rFonts w:ascii="Arial CE" w:hAnsi="Arial CE" w:cs="Arial"/>
          <w:szCs w:val="22"/>
        </w:rPr>
      </w:pPr>
      <w:r w:rsidRPr="00B63FE9">
        <w:rPr>
          <w:rFonts w:ascii="Arial CE" w:hAnsi="Arial CE" w:cs="Arial"/>
          <w:szCs w:val="22"/>
        </w:rPr>
        <w:t>DIČ:</w:t>
      </w:r>
      <w:r w:rsidRPr="00B63FE9">
        <w:rPr>
          <w:rFonts w:ascii="Arial CE" w:hAnsi="Arial CE" w:cs="Arial"/>
          <w:szCs w:val="22"/>
        </w:rPr>
        <w:tab/>
      </w:r>
      <w:r w:rsidRPr="00B63FE9">
        <w:rPr>
          <w:rFonts w:cs="Arial"/>
          <w:color w:val="000000"/>
          <w:szCs w:val="22"/>
        </w:rPr>
        <w:t>CZ44567430</w:t>
      </w:r>
    </w:p>
    <w:p w:rsidR="00AF6FFA" w:rsidRDefault="008259ED" w:rsidP="00AF6FFA">
      <w:pPr>
        <w:tabs>
          <w:tab w:val="left" w:pos="3960"/>
        </w:tabs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B63FE9">
        <w:rPr>
          <w:rFonts w:ascii="Arial CE" w:hAnsi="Arial CE" w:cs="Arial"/>
          <w:szCs w:val="22"/>
        </w:rPr>
        <w:t>zastoupený:</w:t>
      </w:r>
      <w:r w:rsidRPr="00B63FE9">
        <w:rPr>
          <w:rFonts w:ascii="Arial CE" w:hAnsi="Arial CE" w:cs="Arial"/>
          <w:szCs w:val="22"/>
        </w:rPr>
        <w:tab/>
      </w:r>
    </w:p>
    <w:p w:rsidR="00AF6FFA" w:rsidRDefault="008259ED" w:rsidP="00AF6FFA">
      <w:pPr>
        <w:tabs>
          <w:tab w:val="left" w:pos="3960"/>
        </w:tabs>
        <w:ind w:left="3960" w:hanging="3960"/>
        <w:rPr>
          <w:rFonts w:ascii="Arial CE" w:hAnsi="Arial CE" w:cs="Arial"/>
          <w:szCs w:val="22"/>
        </w:rPr>
      </w:pPr>
      <w:r w:rsidRPr="00B63FE9">
        <w:rPr>
          <w:rFonts w:ascii="Arial CE" w:hAnsi="Arial CE" w:cs="Arial"/>
          <w:szCs w:val="22"/>
        </w:rPr>
        <w:t>zástupce ve věcech smluvních:</w:t>
      </w:r>
      <w:r w:rsidRPr="00B63FE9">
        <w:rPr>
          <w:rFonts w:ascii="Arial CE" w:hAnsi="Arial CE" w:cs="Arial"/>
          <w:szCs w:val="22"/>
        </w:rPr>
        <w:tab/>
      </w:r>
    </w:p>
    <w:p w:rsidR="00AF6FFA" w:rsidRDefault="008259ED" w:rsidP="00AF6FFA">
      <w:pPr>
        <w:tabs>
          <w:tab w:val="left" w:pos="3960"/>
        </w:tabs>
        <w:ind w:left="3960" w:hanging="3960"/>
        <w:rPr>
          <w:rFonts w:ascii="Arial CE" w:hAnsi="Arial CE" w:cs="Arial"/>
          <w:szCs w:val="22"/>
        </w:rPr>
      </w:pPr>
      <w:r w:rsidRPr="00B63FE9">
        <w:rPr>
          <w:rFonts w:ascii="Arial CE" w:hAnsi="Arial CE" w:cs="Arial"/>
          <w:szCs w:val="22"/>
        </w:rPr>
        <w:t>zhotovitele zastupuje:</w:t>
      </w:r>
      <w:r w:rsidRPr="00B63FE9">
        <w:rPr>
          <w:rFonts w:ascii="Arial CE" w:hAnsi="Arial CE" w:cs="Arial"/>
          <w:szCs w:val="22"/>
        </w:rPr>
        <w:tab/>
      </w:r>
    </w:p>
    <w:p w:rsidR="008259ED" w:rsidRPr="00B63FE9" w:rsidRDefault="008259ED" w:rsidP="00AF6FFA">
      <w:pPr>
        <w:tabs>
          <w:tab w:val="left" w:pos="3960"/>
        </w:tabs>
        <w:ind w:left="3960" w:hanging="3960"/>
        <w:rPr>
          <w:rFonts w:ascii="Arial CE" w:hAnsi="Arial CE" w:cs="Arial"/>
          <w:szCs w:val="22"/>
        </w:rPr>
      </w:pPr>
      <w:r w:rsidRPr="00B63FE9">
        <w:rPr>
          <w:rFonts w:ascii="Arial CE" w:hAnsi="Arial CE" w:cs="Arial"/>
          <w:szCs w:val="22"/>
        </w:rPr>
        <w:tab/>
      </w:r>
      <w:r w:rsidRPr="00B63FE9">
        <w:rPr>
          <w:rFonts w:ascii="Arial CE" w:hAnsi="Arial CE" w:cs="Arial"/>
          <w:szCs w:val="22"/>
        </w:rPr>
        <w:tab/>
      </w:r>
    </w:p>
    <w:p w:rsidR="00AF6FFA" w:rsidRDefault="008259ED" w:rsidP="00AF6FF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63FE9">
        <w:rPr>
          <w:rFonts w:cs="Arial"/>
          <w:color w:val="000000"/>
          <w:szCs w:val="22"/>
        </w:rPr>
        <w:tab/>
      </w:r>
    </w:p>
    <w:p w:rsidR="00AF6FFA" w:rsidRDefault="008259ED" w:rsidP="00AF6FF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color w:val="000000"/>
          <w:szCs w:val="22"/>
        </w:rPr>
      </w:pPr>
      <w:r>
        <w:t>b</w:t>
      </w:r>
      <w:r w:rsidRPr="00B63FE9">
        <w:rPr>
          <w:rFonts w:ascii="Arial CE" w:hAnsi="Arial CE" w:cs="Arial"/>
          <w:szCs w:val="22"/>
        </w:rPr>
        <w:t>ankovní spojení:</w:t>
      </w:r>
      <w:r w:rsidRPr="00B63FE9">
        <w:rPr>
          <w:rFonts w:ascii="Arial CE" w:hAnsi="Arial CE" w:cs="Arial"/>
          <w:szCs w:val="22"/>
        </w:rPr>
        <w:tab/>
      </w:r>
    </w:p>
    <w:p w:rsidR="00AF6FFA" w:rsidRDefault="008259ED" w:rsidP="00AF6FF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color w:val="000000"/>
          <w:szCs w:val="22"/>
        </w:rPr>
      </w:pPr>
      <w:r w:rsidRPr="00B63FE9">
        <w:rPr>
          <w:rFonts w:ascii="Arial CE" w:hAnsi="Arial CE" w:cs="Arial"/>
          <w:szCs w:val="22"/>
        </w:rPr>
        <w:t>číslo účtu:</w:t>
      </w:r>
      <w:r w:rsidRPr="00B63FE9">
        <w:rPr>
          <w:rFonts w:ascii="Arial CE" w:hAnsi="Arial CE" w:cs="Arial"/>
          <w:szCs w:val="22"/>
        </w:rPr>
        <w:tab/>
      </w:r>
    </w:p>
    <w:p w:rsidR="008259ED" w:rsidRDefault="008259ED" w:rsidP="00AF6FF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color w:val="000000"/>
          <w:szCs w:val="22"/>
        </w:rPr>
      </w:pPr>
      <w:r w:rsidRPr="00B63FE9">
        <w:rPr>
          <w:rFonts w:ascii="Arial CE" w:hAnsi="Arial CE" w:cs="Arial"/>
          <w:szCs w:val="22"/>
        </w:rPr>
        <w:t>bankovní spojení:</w:t>
      </w:r>
      <w:r w:rsidRPr="00B63FE9">
        <w:rPr>
          <w:rFonts w:ascii="Arial CE" w:hAnsi="Arial CE" w:cs="Arial"/>
          <w:szCs w:val="22"/>
        </w:rPr>
        <w:tab/>
      </w:r>
    </w:p>
    <w:p w:rsidR="00AF6FFA" w:rsidRPr="00B63FE9" w:rsidRDefault="00AF6FFA" w:rsidP="00AF6FF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8259ED" w:rsidRDefault="008259ED" w:rsidP="008259ED">
      <w:pPr>
        <w:tabs>
          <w:tab w:val="left" w:pos="3960"/>
        </w:tabs>
        <w:rPr>
          <w:rFonts w:ascii="Arial CE" w:hAnsi="Arial CE" w:cs="Arial"/>
          <w:color w:val="000000"/>
          <w:szCs w:val="22"/>
        </w:rPr>
      </w:pPr>
      <w:r w:rsidRPr="00B63FE9">
        <w:rPr>
          <w:rFonts w:ascii="Arial CE" w:hAnsi="Arial CE" w:cs="Arial"/>
          <w:szCs w:val="22"/>
        </w:rPr>
        <w:t>číslo účtu:</w:t>
      </w:r>
      <w:r w:rsidRPr="00B63FE9">
        <w:rPr>
          <w:rFonts w:ascii="Arial CE" w:hAnsi="Arial CE" w:cs="Arial"/>
          <w:szCs w:val="22"/>
        </w:rPr>
        <w:tab/>
      </w:r>
    </w:p>
    <w:p w:rsidR="00AF6FFA" w:rsidRDefault="00AF6FFA" w:rsidP="008259ED">
      <w:pPr>
        <w:tabs>
          <w:tab w:val="left" w:pos="3960"/>
        </w:tabs>
        <w:rPr>
          <w:rFonts w:ascii="Arial CE" w:hAnsi="Arial CE" w:cs="Arial"/>
          <w:szCs w:val="22"/>
        </w:rPr>
      </w:pPr>
    </w:p>
    <w:p w:rsidR="008259ED" w:rsidRPr="00F03507" w:rsidRDefault="008259ED" w:rsidP="008259ED">
      <w:pPr>
        <w:rPr>
          <w:rFonts w:ascii="Arial CE" w:hAnsi="Arial CE" w:cs="Arial"/>
          <w:sz w:val="22"/>
          <w:szCs w:val="22"/>
        </w:rPr>
      </w:pPr>
      <w:r w:rsidRPr="00F03507"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Cs w:val="22"/>
        </w:rPr>
        <w:t xml:space="preserve"> </w:t>
      </w:r>
      <w:r w:rsidRPr="00F03507">
        <w:rPr>
          <w:rFonts w:ascii="Arial CE" w:hAnsi="Arial CE" w:cs="Arial"/>
          <w:sz w:val="22"/>
          <w:szCs w:val="22"/>
        </w:rPr>
        <w:t>je zapsán v Obchodním rejstříku u Krajského soudu v Ústí nad Labem, v oddílu C, vložce č. 2096</w:t>
      </w:r>
    </w:p>
    <w:p w:rsidR="00AB3455" w:rsidRPr="009B5520" w:rsidRDefault="008259ED" w:rsidP="008259ED">
      <w:pPr>
        <w:tabs>
          <w:tab w:val="left" w:pos="3960"/>
        </w:tabs>
        <w:rPr>
          <w:rFonts w:ascii="Arial CE" w:hAnsi="Arial CE" w:cs="Arial"/>
          <w:szCs w:val="22"/>
        </w:rPr>
      </w:pPr>
      <w:r w:rsidRPr="00AB3455">
        <w:rPr>
          <w:rFonts w:ascii="Arial CE" w:hAnsi="Arial CE" w:cs="Arial"/>
          <w:sz w:val="22"/>
          <w:szCs w:val="22"/>
        </w:rPr>
        <w:t xml:space="preserve"> </w:t>
      </w:r>
      <w:r w:rsidR="00AB3455" w:rsidRPr="00AB3455">
        <w:rPr>
          <w:rFonts w:ascii="Arial CE" w:hAnsi="Arial CE" w:cs="Arial"/>
          <w:sz w:val="22"/>
          <w:szCs w:val="22"/>
        </w:rPr>
        <w:t xml:space="preserve">(dále jen „zhotovitel“) na straně druhé. </w:t>
      </w:r>
    </w:p>
    <w:p w:rsidR="006D119B" w:rsidRDefault="006D119B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C62F9" w:rsidRDefault="00B707E2" w:rsidP="00125CE9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25BEE">
        <w:rPr>
          <w:rFonts w:ascii="Arial" w:hAnsi="Arial" w:cs="Arial"/>
          <w:sz w:val="22"/>
          <w:szCs w:val="22"/>
        </w:rPr>
        <w:t>zajištění posudku TBD, který je požadován z důvodu možného</w:t>
      </w:r>
      <w:r w:rsidR="00725BEE">
        <w:rPr>
          <w:rFonts w:ascii="Arial" w:hAnsi="Arial" w:cs="Arial"/>
          <w:b/>
          <w:sz w:val="22"/>
          <w:szCs w:val="22"/>
        </w:rPr>
        <w:t xml:space="preserve"> </w:t>
      </w:r>
      <w:r w:rsidR="00125CE9">
        <w:rPr>
          <w:rFonts w:ascii="Arial" w:hAnsi="Arial" w:cs="Arial"/>
          <w:sz w:val="22"/>
          <w:szCs w:val="22"/>
        </w:rPr>
        <w:t xml:space="preserve">ponížení </w:t>
      </w:r>
      <w:r w:rsidR="00B5435D">
        <w:rPr>
          <w:rFonts w:ascii="Arial" w:hAnsi="Arial" w:cs="Arial"/>
          <w:sz w:val="22"/>
          <w:szCs w:val="22"/>
        </w:rPr>
        <w:t xml:space="preserve">normových </w:t>
      </w:r>
      <w:r w:rsidR="00125CE9">
        <w:rPr>
          <w:rFonts w:ascii="Arial" w:hAnsi="Arial" w:cs="Arial"/>
          <w:sz w:val="22"/>
          <w:szCs w:val="22"/>
        </w:rPr>
        <w:t xml:space="preserve">parametrů </w:t>
      </w:r>
      <w:r w:rsidR="00294FC0">
        <w:rPr>
          <w:rFonts w:ascii="Arial" w:hAnsi="Arial" w:cs="Arial"/>
          <w:sz w:val="22"/>
          <w:szCs w:val="22"/>
        </w:rPr>
        <w:t>sdruženého objektu</w:t>
      </w:r>
      <w:r w:rsidR="009222DC">
        <w:rPr>
          <w:rFonts w:ascii="Arial" w:hAnsi="Arial" w:cs="Arial"/>
          <w:sz w:val="22"/>
          <w:szCs w:val="22"/>
        </w:rPr>
        <w:t xml:space="preserve"> včetně vývaru. Rozměr</w:t>
      </w:r>
      <w:r w:rsidR="00B5435D">
        <w:rPr>
          <w:rFonts w:ascii="Arial" w:hAnsi="Arial" w:cs="Arial"/>
          <w:sz w:val="22"/>
          <w:szCs w:val="22"/>
        </w:rPr>
        <w:t xml:space="preserve"> konstrukce</w:t>
      </w:r>
      <w:r w:rsidR="009222DC">
        <w:rPr>
          <w:rFonts w:ascii="Arial" w:hAnsi="Arial" w:cs="Arial"/>
          <w:sz w:val="22"/>
          <w:szCs w:val="22"/>
        </w:rPr>
        <w:t xml:space="preserve"> vývaru je </w:t>
      </w:r>
      <w:r w:rsidR="00B5435D">
        <w:rPr>
          <w:rFonts w:ascii="Arial" w:hAnsi="Arial" w:cs="Arial"/>
          <w:sz w:val="22"/>
          <w:szCs w:val="22"/>
        </w:rPr>
        <w:t>omezen</w:t>
      </w:r>
      <w:r w:rsidR="009222DC">
        <w:rPr>
          <w:rFonts w:ascii="Arial" w:hAnsi="Arial" w:cs="Arial"/>
          <w:sz w:val="22"/>
          <w:szCs w:val="22"/>
        </w:rPr>
        <w:t xml:space="preserve"> hranicí pozemku</w:t>
      </w:r>
      <w:r w:rsidR="00C41E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E9B">
        <w:rPr>
          <w:rFonts w:ascii="Arial" w:hAnsi="Arial" w:cs="Arial"/>
          <w:sz w:val="22"/>
          <w:szCs w:val="22"/>
        </w:rPr>
        <w:t>POh</w:t>
      </w:r>
      <w:proofErr w:type="spellEnd"/>
      <w:r w:rsidR="00C41E9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1E9B">
        <w:rPr>
          <w:rFonts w:ascii="Arial" w:hAnsi="Arial" w:cs="Arial"/>
          <w:sz w:val="22"/>
          <w:szCs w:val="22"/>
        </w:rPr>
        <w:t>s.p</w:t>
      </w:r>
      <w:proofErr w:type="spellEnd"/>
      <w:r w:rsidR="00C41E9B">
        <w:rPr>
          <w:rFonts w:ascii="Arial" w:hAnsi="Arial" w:cs="Arial"/>
          <w:sz w:val="22"/>
          <w:szCs w:val="22"/>
        </w:rPr>
        <w:t xml:space="preserve">. (odkup případných sousedních pozemků je nereálný). </w:t>
      </w:r>
      <w:r w:rsidR="00B5435D">
        <w:rPr>
          <w:rFonts w:ascii="Arial" w:hAnsi="Arial" w:cs="Arial"/>
          <w:sz w:val="22"/>
          <w:szCs w:val="22"/>
        </w:rPr>
        <w:t>Podkladem pro zpracování posudku budou též hydrologická data</w:t>
      </w:r>
      <w:r w:rsidR="000D6FF0">
        <w:rPr>
          <w:rFonts w:ascii="Arial" w:hAnsi="Arial" w:cs="Arial"/>
          <w:sz w:val="22"/>
          <w:szCs w:val="22"/>
        </w:rPr>
        <w:t xml:space="preserve"> ČHMÚ.</w:t>
      </w:r>
    </w:p>
    <w:p w:rsidR="00053CDF" w:rsidRPr="00882214" w:rsidRDefault="00053CDF" w:rsidP="006621E5">
      <w:pPr>
        <w:rPr>
          <w:rFonts w:ascii="Arial" w:hAnsi="Arial" w:cs="Arial"/>
          <w:sz w:val="22"/>
          <w:szCs w:val="22"/>
        </w:rPr>
      </w:pP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0F749A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B3455" w:rsidRDefault="00AB3455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8732D" w:rsidRPr="0008732D" w:rsidRDefault="0008732D" w:rsidP="0008732D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>dílčí termín - předání kompletní projektové dokumentace (2 x tištěné + 1 x elektronicky) po projednání na </w:t>
      </w:r>
      <w:proofErr w:type="gramStart"/>
      <w:r w:rsidRPr="0008732D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873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30.</w:t>
      </w:r>
      <w:r w:rsidR="00F03507">
        <w:rPr>
          <w:rFonts w:ascii="Arial" w:hAnsi="Arial" w:cs="Arial"/>
          <w:color w:val="000000"/>
          <w:sz w:val="22"/>
          <w:szCs w:val="22"/>
        </w:rPr>
        <w:t>11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.2021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45483" w:rsidRDefault="00945483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8732D" w:rsidRPr="00015756" w:rsidRDefault="0008732D" w:rsidP="00015756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6FF0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015756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015756">
        <w:rPr>
          <w:rFonts w:ascii="Arial" w:hAnsi="Arial" w:cs="Arial"/>
          <w:color w:val="000000"/>
          <w:sz w:val="22"/>
          <w:szCs w:val="22"/>
        </w:rPr>
        <w:t xml:space="preserve">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(2 x tištěné + 1 x elektronicky) po projednání na ZVV:    </w:t>
      </w:r>
    </w:p>
    <w:p w:rsidR="00544283" w:rsidRPr="000D6FF0" w:rsidRDefault="00544283" w:rsidP="000D6FF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D6FF0">
        <w:rPr>
          <w:rFonts w:ascii="Arial" w:hAnsi="Arial" w:cs="Arial"/>
          <w:b/>
          <w:color w:val="000000"/>
          <w:sz w:val="22"/>
          <w:szCs w:val="22"/>
        </w:rPr>
        <w:t>nejpozději</w:t>
      </w:r>
      <w:r w:rsidRPr="000D6F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6FF0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proofErr w:type="gramStart"/>
      <w:r w:rsidR="00B5435D" w:rsidRPr="000D6FF0">
        <w:rPr>
          <w:rFonts w:ascii="Arial" w:hAnsi="Arial" w:cs="Arial"/>
          <w:b/>
          <w:color w:val="000000"/>
          <w:sz w:val="22"/>
          <w:szCs w:val="22"/>
        </w:rPr>
        <w:t>60ti</w:t>
      </w:r>
      <w:proofErr w:type="gramEnd"/>
      <w:r w:rsidR="00B5435D" w:rsidRPr="000D6FF0">
        <w:rPr>
          <w:rFonts w:ascii="Arial" w:hAnsi="Arial" w:cs="Arial"/>
          <w:b/>
          <w:color w:val="000000"/>
          <w:sz w:val="22"/>
          <w:szCs w:val="22"/>
        </w:rPr>
        <w:t xml:space="preserve"> kalendářních dnů od předání posudku TBD</w:t>
      </w:r>
      <w:r w:rsidR="000D6FF0" w:rsidRPr="000D6FF0">
        <w:rPr>
          <w:rFonts w:ascii="Arial" w:hAnsi="Arial" w:cs="Arial"/>
          <w:b/>
          <w:color w:val="000000"/>
          <w:sz w:val="22"/>
          <w:szCs w:val="22"/>
        </w:rPr>
        <w:t xml:space="preserve"> projektantovi</w:t>
      </w:r>
      <w:r w:rsidRPr="000D6FF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45483" w:rsidRDefault="00945483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45483" w:rsidRDefault="00945483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45483" w:rsidRDefault="00945483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053CDF" w:rsidRPr="009743FF" w:rsidRDefault="00053CDF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lastRenderedPageBreak/>
        <w:t xml:space="preserve">ZÁVĚREČNÁ USTANOVENÍ DODATKU Č. </w:t>
      </w:r>
      <w:r w:rsidR="009615B5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945483" w:rsidRDefault="00945483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945483" w:rsidRDefault="00945483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AD3516" w:rsidRPr="00AD3516">
        <w:rPr>
          <w:rFonts w:ascii="Arial" w:hAnsi="Arial"/>
          <w:sz w:val="22"/>
          <w:szCs w:val="22"/>
        </w:rPr>
        <w:t>V Ústí nad Labem dne</w:t>
      </w:r>
      <w:r w:rsidR="00AD3516">
        <w:rPr>
          <w:szCs w:val="22"/>
        </w:rPr>
        <w:t xml:space="preserve">  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945483" w:rsidRDefault="00945483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945483" w:rsidRDefault="00945483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945483" w:rsidRDefault="00945483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F6FFA" w:rsidRDefault="00AF6FFA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438F7" w:rsidRPr="00B438F7">
        <w:rPr>
          <w:rFonts w:ascii="Arial" w:hAnsi="Arial"/>
          <w:sz w:val="22"/>
          <w:szCs w:val="22"/>
        </w:rPr>
        <w:t xml:space="preserve">jednatel </w:t>
      </w:r>
    </w:p>
    <w:p w:rsidR="003A02FD" w:rsidRDefault="00D9042E" w:rsidP="00AD3516">
      <w:pPr>
        <w:autoSpaceDE w:val="0"/>
        <w:autoSpaceDN w:val="0"/>
        <w:adjustRightInd w:val="0"/>
        <w:ind w:firstLine="426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D3516" w:rsidRPr="005D55F3">
        <w:rPr>
          <w:rFonts w:ascii="Arial" w:hAnsi="Arial"/>
          <w:sz w:val="22"/>
          <w:szCs w:val="22"/>
        </w:rPr>
        <w:t xml:space="preserve">AZ </w:t>
      </w:r>
      <w:proofErr w:type="spellStart"/>
      <w:r w:rsidR="00AD3516" w:rsidRPr="005D55F3">
        <w:rPr>
          <w:rFonts w:ascii="Arial" w:hAnsi="Arial"/>
          <w:sz w:val="22"/>
          <w:szCs w:val="22"/>
        </w:rPr>
        <w:t>Consult</w:t>
      </w:r>
      <w:proofErr w:type="spellEnd"/>
      <w:r w:rsidR="00AD3516" w:rsidRPr="005D55F3">
        <w:rPr>
          <w:rFonts w:ascii="Arial" w:hAnsi="Arial"/>
          <w:sz w:val="22"/>
          <w:szCs w:val="22"/>
        </w:rPr>
        <w:t>, spol. s r.o.</w:t>
      </w:r>
    </w:p>
    <w:p w:rsidR="00730F98" w:rsidRPr="00DE3558" w:rsidRDefault="00AD237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A40" w:rsidRDefault="002B7A40">
      <w:r>
        <w:separator/>
      </w:r>
    </w:p>
  </w:endnote>
  <w:endnote w:type="continuationSeparator" w:id="0">
    <w:p w:rsidR="002B7A40" w:rsidRDefault="002B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A40" w:rsidRDefault="002B7A40">
      <w:r>
        <w:separator/>
      </w:r>
    </w:p>
  </w:footnote>
  <w:footnote w:type="continuationSeparator" w:id="0">
    <w:p w:rsidR="002B7A40" w:rsidRDefault="002B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9B5520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8259ED">
      <w:rPr>
        <w:rFonts w:ascii="Arial" w:hAnsi="Arial" w:cs="Arial"/>
        <w:sz w:val="22"/>
        <w:szCs w:val="22"/>
      </w:rPr>
      <w:t>736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5756"/>
    <w:rsid w:val="00032786"/>
    <w:rsid w:val="00032856"/>
    <w:rsid w:val="00033F75"/>
    <w:rsid w:val="00037357"/>
    <w:rsid w:val="00037FF0"/>
    <w:rsid w:val="000421E5"/>
    <w:rsid w:val="0004546C"/>
    <w:rsid w:val="00045664"/>
    <w:rsid w:val="00053CDF"/>
    <w:rsid w:val="00056330"/>
    <w:rsid w:val="00056FE6"/>
    <w:rsid w:val="000621D7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D6FF0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25CE9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94FC0"/>
    <w:rsid w:val="002A0E31"/>
    <w:rsid w:val="002A4A73"/>
    <w:rsid w:val="002A588E"/>
    <w:rsid w:val="002A6E1E"/>
    <w:rsid w:val="002A798A"/>
    <w:rsid w:val="002B3146"/>
    <w:rsid w:val="002B4708"/>
    <w:rsid w:val="002B693F"/>
    <w:rsid w:val="002B7A40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BEE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5C2C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222DC"/>
    <w:rsid w:val="00936D58"/>
    <w:rsid w:val="0094478C"/>
    <w:rsid w:val="00945483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97830"/>
    <w:rsid w:val="00AB3455"/>
    <w:rsid w:val="00AC2456"/>
    <w:rsid w:val="00AC4112"/>
    <w:rsid w:val="00AC653B"/>
    <w:rsid w:val="00AC7331"/>
    <w:rsid w:val="00AC7C31"/>
    <w:rsid w:val="00AD21BC"/>
    <w:rsid w:val="00AD237E"/>
    <w:rsid w:val="00AD2A38"/>
    <w:rsid w:val="00AD3516"/>
    <w:rsid w:val="00AD70F8"/>
    <w:rsid w:val="00AD7965"/>
    <w:rsid w:val="00AE192E"/>
    <w:rsid w:val="00AF3C6E"/>
    <w:rsid w:val="00AF46C9"/>
    <w:rsid w:val="00AF6F90"/>
    <w:rsid w:val="00AF6FFA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435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1E9B"/>
    <w:rsid w:val="00C422B1"/>
    <w:rsid w:val="00C4369A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94D9A"/>
    <w:rsid w:val="00EA2209"/>
    <w:rsid w:val="00EA36D5"/>
    <w:rsid w:val="00EA48DF"/>
    <w:rsid w:val="00EB40F3"/>
    <w:rsid w:val="00EB7867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C05EB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2020-06-17T05:40:00Z</cp:lastPrinted>
  <dcterms:created xsi:type="dcterms:W3CDTF">2021-12-07T08:13:00Z</dcterms:created>
  <dcterms:modified xsi:type="dcterms:W3CDTF">2021-12-07T08:13:00Z</dcterms:modified>
</cp:coreProperties>
</file>