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" w:lineRule="exact"/>
        <w:ind w:left="113"/>
        <w:rPr>
          <w:sz w:val="2"/>
        </w:rPr>
      </w:pPr>
      <w:r>
        <w:rPr>
          <w:sz w:val="2"/>
        </w:rPr>
        <w:pict>
          <v:group style="width:481.8pt;height:1.2pt;mso-position-horizontal-relative:char;mso-position-vertical-relative:line" coordorigin="0,0" coordsize="9636,24">
            <v:line style="position:absolute" from="12,12" to="9624,12" stroked="true" strokeweight="1.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5"/>
        </w:rPr>
      </w:pPr>
    </w:p>
    <w:p>
      <w:pPr>
        <w:spacing w:before="89"/>
        <w:ind w:left="552" w:right="686" w:firstLine="0"/>
        <w:jc w:val="center"/>
        <w:rPr>
          <w:b/>
          <w:sz w:val="28"/>
        </w:rPr>
      </w:pPr>
      <w:r>
        <w:rPr>
          <w:b/>
          <w:sz w:val="28"/>
        </w:rPr>
        <w:t>D</w:t>
      </w:r>
      <w:r>
        <w:rPr>
          <w:b/>
          <w:sz w:val="22"/>
        </w:rPr>
        <w:t>ODATEK Č</w:t>
      </w:r>
      <w:r>
        <w:rPr>
          <w:b/>
          <w:sz w:val="28"/>
        </w:rPr>
        <w:t>. 1</w:t>
      </w:r>
    </w:p>
    <w:p>
      <w:pPr>
        <w:pStyle w:val="BodyText"/>
        <w:spacing w:before="3"/>
        <w:ind w:left="569" w:right="686"/>
        <w:jc w:val="center"/>
      </w:pPr>
      <w:r>
        <w:rPr/>
        <w:t>ke smlouvě o účasti na řešení grantového projektu č.19-04956S podle zákona č. 130/2002 Sb., ve</w:t>
      </w:r>
    </w:p>
    <w:p>
      <w:pPr>
        <w:pStyle w:val="BodyText"/>
        <w:spacing w:line="652" w:lineRule="auto"/>
        <w:ind w:left="648" w:right="958" w:firstLine="996"/>
      </w:pPr>
      <w:r>
        <w:rPr>
          <w:spacing w:val="-7"/>
        </w:rPr>
        <w:t>znění </w:t>
      </w:r>
      <w:r>
        <w:rPr>
          <w:spacing w:val="-8"/>
        </w:rPr>
        <w:t>pozdějších předpisů, </w:t>
      </w:r>
      <w:r>
        <w:rPr/>
        <w:t>a </w:t>
      </w:r>
      <w:r>
        <w:rPr>
          <w:spacing w:val="-7"/>
        </w:rPr>
        <w:t>zákona </w:t>
      </w:r>
      <w:r>
        <w:rPr>
          <w:spacing w:val="-3"/>
        </w:rPr>
        <w:t>č. </w:t>
      </w:r>
      <w:r>
        <w:rPr>
          <w:spacing w:val="-7"/>
        </w:rPr>
        <w:t>89/2012 </w:t>
      </w:r>
      <w:r>
        <w:rPr>
          <w:spacing w:val="-6"/>
        </w:rPr>
        <w:t>Sb., </w:t>
      </w:r>
      <w:r>
        <w:rPr>
          <w:spacing w:val="-3"/>
        </w:rPr>
        <w:t>ve</w:t>
      </w:r>
      <w:r>
        <w:rPr>
          <w:spacing w:val="-7"/>
        </w:rPr>
        <w:t> znění </w:t>
      </w:r>
      <w:r>
        <w:rPr>
          <w:spacing w:val="-8"/>
        </w:rPr>
        <w:t>pozdějších předpisů </w:t>
      </w:r>
      <w:r>
        <w:rPr/>
        <w:t>Smluvní strany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  <w:tab w:pos="1321" w:val="left" w:leader="none"/>
        </w:tabs>
        <w:spacing w:line="258" w:lineRule="exact" w:before="0" w:after="0"/>
        <w:ind w:left="1320" w:right="0" w:hanging="676"/>
        <w:jc w:val="left"/>
        <w:rPr>
          <w:sz w:val="24"/>
        </w:rPr>
      </w:pPr>
      <w:r>
        <w:rPr>
          <w:spacing w:val="-4"/>
          <w:sz w:val="24"/>
        </w:rPr>
        <w:t>Západočeská univerzita </w:t>
      </w:r>
      <w:r>
        <w:rPr>
          <w:sz w:val="24"/>
        </w:rPr>
        <w:t>v</w:t>
      </w:r>
      <w:r>
        <w:rPr>
          <w:spacing w:val="10"/>
          <w:sz w:val="24"/>
        </w:rPr>
        <w:t> </w:t>
      </w:r>
      <w:r>
        <w:rPr>
          <w:sz w:val="24"/>
        </w:rPr>
        <w:t>Plzni</w:t>
      </w:r>
    </w:p>
    <w:p>
      <w:pPr>
        <w:pStyle w:val="BodyText"/>
        <w:ind w:left="1340" w:right="6087"/>
      </w:pPr>
      <w:r>
        <w:rPr/>
        <w:t>Univerzitní 2732/8, 301 00 Plzeň IČO: 49777513</w:t>
      </w:r>
    </w:p>
    <w:p>
      <w:pPr>
        <w:pStyle w:val="BodyText"/>
        <w:ind w:left="1340"/>
        <w:jc w:val="both"/>
      </w:pPr>
      <w:r>
        <w:rPr/>
        <w:t>Zastoupená: doc. Ing. Luďkem Hynčíkem, Ph.D., prorektorem pro výzkum a vývoj</w:t>
      </w:r>
    </w:p>
    <w:p>
      <w:pPr>
        <w:pStyle w:val="BodyText"/>
      </w:pPr>
    </w:p>
    <w:p>
      <w:pPr>
        <w:spacing w:line="487" w:lineRule="auto" w:before="0"/>
        <w:ind w:left="1340" w:right="7192" w:firstLine="0"/>
        <w:jc w:val="left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 a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  <w:tab w:pos="1321" w:val="left" w:leader="none"/>
        </w:tabs>
        <w:spacing w:line="240" w:lineRule="auto" w:before="2" w:after="0"/>
        <w:ind w:left="1320" w:right="5690" w:hanging="700"/>
        <w:jc w:val="left"/>
        <w:rPr>
          <w:sz w:val="24"/>
        </w:rPr>
      </w:pPr>
      <w:r>
        <w:rPr>
          <w:sz w:val="24"/>
        </w:rPr>
        <w:t>Ústav termomechaniky AV ČR, v.v.i. Dolejškova 1402/5, 182 00 Praha 8 IČO:</w:t>
      </w:r>
      <w:r>
        <w:rPr>
          <w:spacing w:val="-10"/>
          <w:sz w:val="24"/>
        </w:rPr>
        <w:t> </w:t>
      </w:r>
      <w:r>
        <w:rPr>
          <w:sz w:val="24"/>
        </w:rPr>
        <w:t>61388998</w:t>
      </w:r>
    </w:p>
    <w:p>
      <w:pPr>
        <w:pStyle w:val="BodyText"/>
        <w:ind w:left="1320"/>
        <w:jc w:val="both"/>
      </w:pPr>
      <w:r>
        <w:rPr/>
        <w:t>Zastoupená: doc.</w:t>
      </w:r>
    </w:p>
    <w:p>
      <w:pPr>
        <w:pStyle w:val="BodyText"/>
      </w:pPr>
    </w:p>
    <w:p>
      <w:pPr>
        <w:spacing w:before="0"/>
        <w:ind w:left="1320" w:right="0" w:firstLine="0"/>
        <w:jc w:val="both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Další účastník</w:t>
      </w:r>
      <w:r>
        <w:rPr>
          <w:sz w:val="24"/>
        </w:rPr>
        <w:t>“)</w:t>
      </w:r>
    </w:p>
    <w:p>
      <w:pPr>
        <w:pStyle w:val="BodyText"/>
        <w:rPr>
          <w:sz w:val="26"/>
        </w:rPr>
      </w:pPr>
    </w:p>
    <w:p>
      <w:pPr>
        <w:pStyle w:val="BodyText"/>
        <w:spacing w:before="233"/>
        <w:ind w:left="1320"/>
        <w:jc w:val="both"/>
      </w:pPr>
      <w:r>
        <w:rPr/>
        <w:t>uzavřely dnešního dne tento</w:t>
      </w:r>
    </w:p>
    <w:p>
      <w:pPr>
        <w:pStyle w:val="BodyText"/>
        <w:spacing w:line="251" w:lineRule="exact" w:before="203"/>
        <w:ind w:left="555" w:right="686"/>
        <w:jc w:val="center"/>
      </w:pPr>
      <w:r>
        <w:rPr/>
        <w:t>dodatek č. 1 ke smlouvě o účasti na řešení</w:t>
      </w:r>
    </w:p>
    <w:p>
      <w:pPr>
        <w:spacing w:line="251" w:lineRule="exact" w:before="0"/>
        <w:ind w:left="562" w:right="686" w:firstLine="0"/>
        <w:jc w:val="center"/>
        <w:rPr>
          <w:sz w:val="24"/>
        </w:rPr>
      </w:pPr>
      <w:r>
        <w:rPr>
          <w:sz w:val="24"/>
        </w:rPr>
        <w:t>grantového projektu: (dále jen "</w:t>
      </w:r>
      <w:r>
        <w:rPr>
          <w:b/>
          <w:sz w:val="24"/>
        </w:rPr>
        <w:t>Dodatek č. 1</w:t>
      </w:r>
      <w:r>
        <w:rPr>
          <w:sz w:val="24"/>
        </w:rPr>
        <w:t>")</w:t>
      </w:r>
    </w:p>
    <w:p>
      <w:pPr>
        <w:pStyle w:val="BodyText"/>
        <w:spacing w:line="272" w:lineRule="exact" w:before="173"/>
        <w:ind w:left="569" w:right="646"/>
        <w:jc w:val="center"/>
      </w:pPr>
      <w:bookmarkStart w:name="Změna smlouvy" w:id="1"/>
      <w:bookmarkEnd w:id="1"/>
      <w:r>
        <w:rPr/>
      </w:r>
      <w:r>
        <w:rPr>
          <w:w w:val="180"/>
        </w:rPr>
        <w:t>I.</w:t>
      </w:r>
    </w:p>
    <w:p>
      <w:pPr>
        <w:pStyle w:val="Heading1"/>
        <w:spacing w:line="272" w:lineRule="exact"/>
        <w:ind w:right="686"/>
      </w:pPr>
      <w:r>
        <w:rPr/>
        <w:t>Změna smlouvy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  <w:tab w:pos="1328" w:val="left" w:leader="none"/>
        </w:tabs>
        <w:spacing w:line="253" w:lineRule="exact" w:before="185" w:after="0"/>
        <w:ind w:left="1340" w:right="0" w:hanging="720"/>
        <w:jc w:val="left"/>
        <w:rPr>
          <w:sz w:val="24"/>
        </w:rPr>
      </w:pPr>
      <w:r>
        <w:rPr>
          <w:sz w:val="24"/>
        </w:rPr>
        <w:t>Smluvní strany uzavřely dne 14. 3. 2019 smlouvu o účasti na řešení níže uvedeného</w:t>
      </w:r>
      <w:r>
        <w:rPr>
          <w:spacing w:val="-12"/>
          <w:sz w:val="24"/>
        </w:rPr>
        <w:t> </w:t>
      </w:r>
      <w:r>
        <w:rPr>
          <w:sz w:val="24"/>
        </w:rPr>
        <w:t>grantového</w:t>
      </w:r>
    </w:p>
    <w:p>
      <w:pPr>
        <w:pStyle w:val="BodyText"/>
        <w:spacing w:line="253" w:lineRule="exact"/>
        <w:ind w:left="1327"/>
        <w:jc w:val="both"/>
      </w:pPr>
      <w:r>
        <w:rPr/>
        <w:t>projektu:</w:t>
      </w:r>
    </w:p>
    <w:p>
      <w:pPr>
        <w:spacing w:line="253" w:lineRule="exact" w:before="185"/>
        <w:ind w:left="1327" w:right="0" w:firstLine="0"/>
        <w:jc w:val="both"/>
        <w:rPr>
          <w:b/>
          <w:sz w:val="24"/>
        </w:rPr>
      </w:pPr>
      <w:r>
        <w:rPr>
          <w:sz w:val="24"/>
        </w:rPr>
        <w:t>Název grantového projektu: </w:t>
      </w:r>
      <w:r>
        <w:rPr>
          <w:b/>
          <w:sz w:val="24"/>
        </w:rPr>
        <w:t>Dynamika a nelineární chování pokročilých kompozitních</w:t>
      </w:r>
    </w:p>
    <w:p>
      <w:pPr>
        <w:pStyle w:val="Heading1"/>
        <w:spacing w:line="253" w:lineRule="exact"/>
        <w:ind w:left="1327"/>
        <w:jc w:val="both"/>
      </w:pPr>
      <w:r>
        <w:rPr/>
        <w:t>struktur; modelování a optimalizace.</w:t>
      </w:r>
    </w:p>
    <w:p>
      <w:pPr>
        <w:pStyle w:val="BodyText"/>
        <w:spacing w:line="177" w:lineRule="auto" w:before="212"/>
        <w:ind w:left="1339" w:right="736"/>
        <w:jc w:val="both"/>
      </w:pPr>
      <w:r>
        <w:rPr>
          <w:spacing w:val="-7"/>
        </w:rPr>
        <w:t>Předmět </w:t>
      </w:r>
      <w:r>
        <w:rPr/>
        <w:t>a </w:t>
      </w:r>
      <w:r>
        <w:rPr>
          <w:spacing w:val="-6"/>
        </w:rPr>
        <w:t>cíle </w:t>
      </w:r>
      <w:r>
        <w:rPr>
          <w:spacing w:val="-5"/>
        </w:rPr>
        <w:t>jeho </w:t>
      </w:r>
      <w:r>
        <w:rPr>
          <w:spacing w:val="-7"/>
        </w:rPr>
        <w:t>řešení: Analytické </w:t>
      </w:r>
      <w:r>
        <w:rPr/>
        <w:t>a </w:t>
      </w:r>
      <w:r>
        <w:rPr>
          <w:spacing w:val="-7"/>
        </w:rPr>
        <w:t>numerické </w:t>
      </w:r>
      <w:r>
        <w:rPr>
          <w:spacing w:val="-6"/>
        </w:rPr>
        <w:t>metody </w:t>
      </w:r>
      <w:r>
        <w:rPr>
          <w:spacing w:val="-4"/>
        </w:rPr>
        <w:t>pro </w:t>
      </w:r>
      <w:r>
        <w:rPr>
          <w:spacing w:val="-7"/>
        </w:rPr>
        <w:t>modelování dynamické </w:t>
      </w:r>
      <w:r>
        <w:rPr>
          <w:spacing w:val="-6"/>
        </w:rPr>
        <w:t>odezvy </w:t>
      </w:r>
      <w:r>
        <w:rPr>
          <w:spacing w:val="-8"/>
        </w:rPr>
        <w:t>periodicky </w:t>
      </w:r>
      <w:r>
        <w:rPr>
          <w:spacing w:val="-7"/>
        </w:rPr>
        <w:t>heterogenních </w:t>
      </w:r>
      <w:r>
        <w:rPr>
          <w:spacing w:val="-8"/>
        </w:rPr>
        <w:t>vícefázových </w:t>
      </w:r>
      <w:r>
        <w:rPr>
          <w:spacing w:val="-7"/>
        </w:rPr>
        <w:t>struktur </w:t>
      </w:r>
      <w:r>
        <w:rPr/>
        <w:t>s </w:t>
      </w:r>
      <w:r>
        <w:rPr>
          <w:spacing w:val="-7"/>
        </w:rPr>
        <w:t>nelineárními </w:t>
      </w:r>
      <w:r>
        <w:rPr>
          <w:spacing w:val="-8"/>
        </w:rPr>
        <w:t>interakcemi </w:t>
      </w:r>
      <w:r>
        <w:rPr>
          <w:spacing w:val="-5"/>
        </w:rPr>
        <w:t>nebo </w:t>
      </w:r>
      <w:r>
        <w:rPr/>
        <w:t>i s </w:t>
      </w:r>
      <w:r>
        <w:rPr>
          <w:spacing w:val="-6"/>
        </w:rPr>
        <w:t>vlivem </w:t>
      </w:r>
      <w:r>
        <w:rPr>
          <w:spacing w:val="-9"/>
        </w:rPr>
        <w:t>elektromechanické </w:t>
      </w:r>
      <w:r>
        <w:rPr>
          <w:spacing w:val="-7"/>
        </w:rPr>
        <w:t>vazby. Optimalizace složení </w:t>
      </w:r>
      <w:r>
        <w:rPr/>
        <w:t>a </w:t>
      </w:r>
      <w:r>
        <w:rPr>
          <w:spacing w:val="-7"/>
        </w:rPr>
        <w:t>geometrie mikrostruktur </w:t>
      </w:r>
      <w:r>
        <w:rPr>
          <w:spacing w:val="-4"/>
        </w:rPr>
        <w:t>pro </w:t>
      </w:r>
      <w:r>
        <w:rPr>
          <w:spacing w:val="-7"/>
        </w:rPr>
        <w:t>zlepšení tlumení struktur </w:t>
      </w:r>
      <w:r>
        <w:rPr>
          <w:spacing w:val="-5"/>
        </w:rPr>
        <w:t>nebo </w:t>
      </w:r>
      <w:r>
        <w:rPr>
          <w:spacing w:val="-7"/>
        </w:rPr>
        <w:t>transformace </w:t>
      </w:r>
      <w:r>
        <w:rPr>
          <w:spacing w:val="-9"/>
        </w:rPr>
        <w:t>energie.</w:t>
      </w:r>
    </w:p>
    <w:p>
      <w:pPr>
        <w:pStyle w:val="BodyText"/>
        <w:rPr>
          <w:sz w:val="21"/>
        </w:rPr>
      </w:pPr>
    </w:p>
    <w:p>
      <w:pPr>
        <w:pStyle w:val="BodyText"/>
        <w:ind w:left="1349"/>
        <w:jc w:val="both"/>
      </w:pPr>
      <w:r>
        <w:rPr/>
        <w:t>Registrační číslo grantového projektu: 19-04956S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359"/>
        <w:jc w:val="both"/>
      </w:pPr>
      <w:r>
        <w:rPr/>
        <w:t>Číslo grantového projektu dle CEP: GA19-04956S (dále jen "Projekt")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339" w:val="left" w:leader="none"/>
          <w:tab w:pos="1340" w:val="left" w:leader="none"/>
        </w:tabs>
        <w:spacing w:line="230" w:lineRule="exact" w:before="225" w:after="0"/>
        <w:ind w:left="1340" w:right="520" w:hanging="720"/>
        <w:jc w:val="left"/>
        <w:rPr>
          <w:sz w:val="24"/>
        </w:rPr>
      </w:pPr>
      <w:r>
        <w:rPr>
          <w:sz w:val="24"/>
        </w:rPr>
        <w:t>V</w:t>
      </w:r>
      <w:r>
        <w:rPr>
          <w:spacing w:val="-12"/>
          <w:sz w:val="24"/>
        </w:rPr>
        <w:t> </w:t>
      </w:r>
      <w:r>
        <w:rPr>
          <w:spacing w:val="-7"/>
          <w:sz w:val="24"/>
        </w:rPr>
        <w:t>souvislosti</w:t>
      </w:r>
      <w:r>
        <w:rPr>
          <w:spacing w:val="-18"/>
          <w:sz w:val="24"/>
        </w:rPr>
        <w:t> </w:t>
      </w:r>
      <w:r>
        <w:rPr>
          <w:sz w:val="24"/>
        </w:rPr>
        <w:t>s</w:t>
      </w:r>
      <w:r>
        <w:rPr>
          <w:spacing w:val="-11"/>
          <w:sz w:val="24"/>
        </w:rPr>
        <w:t> </w:t>
      </w:r>
      <w:r>
        <w:rPr>
          <w:spacing w:val="-7"/>
          <w:sz w:val="24"/>
        </w:rPr>
        <w:t>pandemií</w:t>
      </w:r>
      <w:r>
        <w:rPr>
          <w:spacing w:val="-18"/>
          <w:sz w:val="24"/>
        </w:rPr>
        <w:t> </w:t>
      </w:r>
      <w:r>
        <w:rPr>
          <w:spacing w:val="-7"/>
          <w:sz w:val="24"/>
        </w:rPr>
        <w:t>COVID-19</w:t>
      </w:r>
      <w:r>
        <w:rPr>
          <w:spacing w:val="-19"/>
          <w:sz w:val="24"/>
        </w:rPr>
        <w:t> </w:t>
      </w:r>
      <w:r>
        <w:rPr>
          <w:spacing w:val="-5"/>
          <w:sz w:val="24"/>
        </w:rPr>
        <w:t>došlo</w:t>
      </w:r>
      <w:r>
        <w:rPr>
          <w:spacing w:val="-19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pacing w:val="-7"/>
          <w:sz w:val="24"/>
        </w:rPr>
        <w:t>základě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smlouvy</w:t>
      </w:r>
      <w:r>
        <w:rPr>
          <w:spacing w:val="-27"/>
          <w:sz w:val="24"/>
        </w:rPr>
        <w:t> </w:t>
      </w:r>
      <w:r>
        <w:rPr>
          <w:spacing w:val="-5"/>
          <w:sz w:val="24"/>
        </w:rPr>
        <w:t>mezi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Poskytovatelem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7"/>
          <w:sz w:val="24"/>
        </w:rPr>
        <w:t>Příjemcem </w:t>
      </w:r>
      <w:r>
        <w:rPr>
          <w:sz w:val="24"/>
        </w:rPr>
        <w:t>k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prodloužení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doby</w:t>
      </w:r>
      <w:r>
        <w:rPr>
          <w:spacing w:val="-18"/>
          <w:sz w:val="24"/>
        </w:rPr>
        <w:t> </w:t>
      </w:r>
      <w:r>
        <w:rPr>
          <w:spacing w:val="-7"/>
          <w:sz w:val="24"/>
        </w:rPr>
        <w:t>řešení</w:t>
      </w:r>
      <w:r>
        <w:rPr>
          <w:spacing w:val="-15"/>
          <w:sz w:val="24"/>
        </w:rPr>
        <w:t> </w:t>
      </w:r>
      <w:r>
        <w:rPr>
          <w:spacing w:val="-7"/>
          <w:sz w:val="24"/>
        </w:rPr>
        <w:t>Projektu</w:t>
      </w:r>
      <w:r>
        <w:rPr>
          <w:spacing w:val="-18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6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kalendářních</w:t>
      </w:r>
      <w:r>
        <w:rPr>
          <w:spacing w:val="-13"/>
          <w:sz w:val="24"/>
        </w:rPr>
        <w:t> </w:t>
      </w:r>
      <w:r>
        <w:rPr>
          <w:spacing w:val="-7"/>
          <w:sz w:val="24"/>
        </w:rPr>
        <w:t>měsíců.</w:t>
      </w:r>
    </w:p>
    <w:p>
      <w:pPr>
        <w:pStyle w:val="BodyText"/>
        <w:spacing w:before="187"/>
        <w:ind w:left="1339"/>
        <w:jc w:val="both"/>
      </w:pPr>
      <w:r>
        <w:rPr>
          <w:spacing w:val="-7"/>
        </w:rPr>
        <w:t>Vzhledem </w:t>
      </w:r>
      <w:r>
        <w:rPr/>
        <w:t>k </w:t>
      </w:r>
      <w:r>
        <w:rPr>
          <w:spacing w:val="-5"/>
        </w:rPr>
        <w:t>tomu </w:t>
      </w:r>
      <w:r>
        <w:rPr/>
        <w:t>se </w:t>
      </w:r>
      <w:r>
        <w:rPr>
          <w:spacing w:val="-6"/>
        </w:rPr>
        <w:t>smluvní strany </w:t>
      </w:r>
      <w:r>
        <w:rPr>
          <w:spacing w:val="-7"/>
        </w:rPr>
        <w:t>dohodly, </w:t>
      </w:r>
      <w:r>
        <w:rPr/>
        <w:t>že</w:t>
      </w:r>
      <w:r>
        <w:rPr>
          <w:spacing w:val="-5"/>
        </w:rPr>
        <w:t> čl. </w:t>
      </w:r>
      <w:r>
        <w:rPr>
          <w:spacing w:val="-4"/>
        </w:rPr>
        <w:t>I. </w:t>
      </w:r>
      <w:r>
        <w:rPr>
          <w:spacing w:val="-5"/>
        </w:rPr>
        <w:t>odst. </w:t>
      </w:r>
      <w:r>
        <w:rPr/>
        <w:t>2 </w:t>
      </w:r>
      <w:r>
        <w:rPr>
          <w:spacing w:val="-7"/>
        </w:rPr>
        <w:t>uvedené </w:t>
      </w:r>
      <w:r>
        <w:rPr>
          <w:spacing w:val="-6"/>
        </w:rPr>
        <w:t>smlouvy </w:t>
      </w:r>
      <w:r>
        <w:rPr/>
        <w:t>se </w:t>
      </w:r>
      <w:r>
        <w:rPr>
          <w:spacing w:val="-6"/>
        </w:rPr>
        <w:t>mění </w:t>
      </w:r>
      <w:r>
        <w:rPr>
          <w:spacing w:val="-8"/>
        </w:rPr>
        <w:t>následovně:</w:t>
      </w:r>
    </w:p>
    <w:p>
      <w:pPr>
        <w:spacing w:after="0"/>
        <w:jc w:val="both"/>
        <w:sectPr>
          <w:footerReference w:type="default" r:id="rId5"/>
          <w:type w:val="continuous"/>
          <w:pgSz w:w="11900" w:h="16850"/>
          <w:pgMar w:footer="969" w:top="1420" w:bottom="1160" w:left="820" w:right="440"/>
          <w:pgNumType w:start="1"/>
        </w:sectPr>
      </w:pPr>
    </w:p>
    <w:p>
      <w:pPr>
        <w:pStyle w:val="BodyText"/>
        <w:spacing w:before="75"/>
        <w:ind w:left="820"/>
      </w:pPr>
      <w:r>
        <w:rPr/>
        <w:t>Datum zahájení řešení Projektu: 1. 1. 2019</w:t>
      </w:r>
    </w:p>
    <w:p>
      <w:pPr>
        <w:pStyle w:val="Heading1"/>
        <w:spacing w:before="184"/>
        <w:ind w:left="820"/>
        <w:jc w:val="left"/>
      </w:pPr>
      <w:bookmarkStart w:name="Datum ukončení řešení Projektu: 30. 6. 2" w:id="2"/>
      <w:bookmarkEnd w:id="2"/>
      <w:r>
        <w:rPr>
          <w:b w:val="0"/>
        </w:rPr>
      </w:r>
      <w:r>
        <w:rPr/>
        <w:t>Datum ukončení řešení Projektu: 30. 6. 2022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17" w:val="left" w:leader="none"/>
          <w:tab w:pos="818" w:val="left" w:leader="none"/>
        </w:tabs>
        <w:spacing w:line="240" w:lineRule="auto" w:before="1" w:after="0"/>
        <w:ind w:left="817" w:right="0" w:hanging="717"/>
        <w:jc w:val="left"/>
        <w:rPr>
          <w:sz w:val="24"/>
        </w:rPr>
      </w:pPr>
      <w:r>
        <w:rPr>
          <w:sz w:val="24"/>
        </w:rPr>
        <w:t>Ostatní ujednání smlouvy zůstávají beze</w:t>
      </w:r>
      <w:r>
        <w:rPr>
          <w:spacing w:val="-20"/>
          <w:sz w:val="24"/>
        </w:rPr>
        <w:t> </w:t>
      </w:r>
      <w:r>
        <w:rPr>
          <w:sz w:val="24"/>
        </w:rPr>
        <w:t>změn.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"/>
        <w:ind w:left="3584" w:right="3487"/>
      </w:pPr>
      <w:bookmarkStart w:name="II." w:id="3"/>
      <w:bookmarkEnd w:id="3"/>
      <w:r>
        <w:rPr>
          <w:b w:val="0"/>
        </w:rPr>
      </w:r>
      <w:r>
        <w:rPr/>
        <w:t>II.</w:t>
      </w:r>
    </w:p>
    <w:p>
      <w:pPr>
        <w:spacing w:before="0"/>
        <w:ind w:left="3586" w:right="3487" w:firstLine="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  <w:tab w:pos="806" w:val="left" w:leader="none"/>
        </w:tabs>
        <w:spacing w:line="240" w:lineRule="auto" w:before="225" w:after="0"/>
        <w:ind w:left="808" w:right="0" w:hanging="708"/>
        <w:jc w:val="left"/>
        <w:rPr>
          <w:sz w:val="24"/>
        </w:rPr>
      </w:pPr>
      <w:r>
        <w:rPr>
          <w:sz w:val="24"/>
        </w:rPr>
        <w:t>Dodatek č. 1 nabývá platnosti dnem podpisu oprávněných zástupců obou</w:t>
      </w:r>
      <w:r>
        <w:rPr>
          <w:spacing w:val="-8"/>
          <w:sz w:val="24"/>
        </w:rPr>
        <w:t> </w:t>
      </w:r>
      <w:r>
        <w:rPr>
          <w:sz w:val="24"/>
        </w:rPr>
        <w:t>smluvních</w:t>
      </w:r>
    </w:p>
    <w:p>
      <w:pPr>
        <w:pStyle w:val="BodyText"/>
        <w:ind w:left="808"/>
      </w:pPr>
      <w:r>
        <w:rPr/>
        <w:t>stran.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  <w:tab w:pos="806" w:val="left" w:leader="none"/>
        </w:tabs>
        <w:spacing w:line="240" w:lineRule="auto" w:before="0" w:after="0"/>
        <w:ind w:left="805" w:right="0" w:hanging="705"/>
        <w:jc w:val="left"/>
        <w:rPr>
          <w:sz w:val="24"/>
        </w:rPr>
      </w:pPr>
      <w:r>
        <w:rPr>
          <w:sz w:val="24"/>
        </w:rPr>
        <w:t>Dodatek č. 1 nabývá účinnosti dnem uveřejnění v registru smluv podle</w:t>
      </w:r>
      <w:r>
        <w:rPr>
          <w:spacing w:val="-25"/>
          <w:sz w:val="24"/>
        </w:rPr>
        <w:t> </w:t>
      </w:r>
      <w:r>
        <w:rPr>
          <w:sz w:val="24"/>
        </w:rPr>
        <w:t>zákona</w:t>
      </w:r>
    </w:p>
    <w:p>
      <w:pPr>
        <w:pStyle w:val="BodyText"/>
        <w:ind w:left="808" w:right="140"/>
      </w:pPr>
      <w:r>
        <w:rPr/>
        <w:t>č. 340/2015 Sb., o zvláštních podmínkách účinnosti některých smluv, uveřejňování těchto smluv a o registru smluv (zákon o registru smluv), ve znění pozdějších předpisů. Uveřejnění Dodatku č. 1 dle předchozí věty zajistí Příjemce.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  <w:tab w:pos="806" w:val="left" w:leader="none"/>
        </w:tabs>
        <w:spacing w:line="240" w:lineRule="auto" w:before="0" w:after="0"/>
        <w:ind w:left="805" w:right="0" w:hanging="705"/>
        <w:jc w:val="left"/>
        <w:rPr>
          <w:sz w:val="24"/>
        </w:rPr>
      </w:pPr>
      <w:r>
        <w:rPr>
          <w:sz w:val="24"/>
        </w:rPr>
        <w:t>Dodatek č. 1 je vyhotoven v elektronické podobě a podepsán elektronickými</w:t>
      </w:r>
      <w:r>
        <w:rPr>
          <w:spacing w:val="-10"/>
          <w:sz w:val="24"/>
        </w:rPr>
        <w:t> </w:t>
      </w:r>
      <w:r>
        <w:rPr>
          <w:sz w:val="24"/>
        </w:rPr>
        <w:t>prostředky</w:t>
      </w:r>
    </w:p>
    <w:p>
      <w:pPr>
        <w:pStyle w:val="BodyText"/>
        <w:ind w:left="808"/>
      </w:pPr>
      <w:r>
        <w:rPr/>
        <w:t>obou smluvních stran.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  <w:tab w:pos="806" w:val="left" w:leader="none"/>
        </w:tabs>
        <w:spacing w:line="240" w:lineRule="auto" w:before="0" w:after="0"/>
        <w:ind w:left="808" w:right="682" w:hanging="708"/>
        <w:jc w:val="left"/>
        <w:rPr>
          <w:sz w:val="24"/>
        </w:rPr>
      </w:pPr>
      <w:r>
        <w:rPr>
          <w:sz w:val="24"/>
        </w:rPr>
        <w:t>Smluvní strany svými podpisy potvrzují, že se seznámily s celým obsahem tohoto Dodatku č. 1, porozuměly mu a bez výhrad přijímají povinnosti a práva, z tohoto Dodatku č. 1</w:t>
      </w:r>
      <w:r>
        <w:rPr>
          <w:spacing w:val="-9"/>
          <w:sz w:val="24"/>
        </w:rPr>
        <w:t> </w:t>
      </w:r>
      <w:r>
        <w:rPr>
          <w:sz w:val="24"/>
        </w:rPr>
        <w:t>plynoucí.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after="0"/>
        <w:rPr>
          <w:sz w:val="19"/>
        </w:rPr>
        <w:sectPr>
          <w:pgSz w:w="11900" w:h="16850"/>
          <w:pgMar w:header="0" w:footer="969" w:top="1320" w:bottom="1160" w:left="1340" w:right="1200"/>
        </w:sectPr>
      </w:pPr>
    </w:p>
    <w:p>
      <w:pPr>
        <w:pStyle w:val="BodyText"/>
        <w:spacing w:before="90"/>
        <w:ind w:left="100"/>
      </w:pPr>
      <w:bookmarkStart w:name="Hynčík, Ph.D." w:id="4"/>
      <w:bookmarkEnd w:id="4"/>
      <w:r>
        <w:rPr/>
      </w:r>
      <w:r>
        <w:rPr/>
        <w:t>V Plzni dne</w:t>
      </w:r>
      <w:r>
        <w:rPr>
          <w:spacing w:val="-4"/>
        </w:rPr>
        <w:t> </w:t>
      </w:r>
      <w:r>
        <w:rPr/>
        <w:t>………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ind w:left="102"/>
      </w:pPr>
      <w:r>
        <w:rPr/>
        <w:t>Příjemce</w:t>
      </w:r>
    </w:p>
    <w:p>
      <w:pPr>
        <w:pStyle w:val="BodyText"/>
        <w:ind w:left="100"/>
      </w:pPr>
      <w:r>
        <w:rPr/>
        <w:t>doc. Ing. Luděk Hynčík, Ph.D.</w:t>
      </w:r>
    </w:p>
    <w:p>
      <w:pPr>
        <w:pStyle w:val="BodyText"/>
        <w:ind w:left="100"/>
      </w:pPr>
      <w:r>
        <w:rPr/>
        <w:t>prorektor pro výzkum a vývoj</w:t>
      </w:r>
    </w:p>
    <w:p>
      <w:pPr>
        <w:spacing w:after="0"/>
        <w:sectPr>
          <w:type w:val="continuous"/>
          <w:pgSz w:w="11900" w:h="16850"/>
          <w:pgMar w:top="1420" w:bottom="1160" w:left="1340" w:right="1200"/>
          <w:cols w:num="2" w:equalWidth="0">
            <w:col w:w="2013" w:space="3087"/>
            <w:col w:w="42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50"/>
          <w:pgMar w:top="1420" w:bottom="1160" w:left="1340" w:right="1200"/>
        </w:sectPr>
      </w:pPr>
    </w:p>
    <w:p>
      <w:pPr>
        <w:pStyle w:val="BodyText"/>
        <w:spacing w:before="90"/>
        <w:ind w:left="100"/>
      </w:pPr>
      <w:r>
        <w:rPr/>
        <w:t>V Praze dne</w:t>
      </w:r>
      <w:r>
        <w:rPr>
          <w:spacing w:val="-13"/>
        </w:rPr>
        <w:t> </w:t>
      </w:r>
      <w:r>
        <w:rPr/>
        <w:t>2.12.2021</w:t>
      </w:r>
    </w:p>
    <w:p>
      <w:pPr>
        <w:pStyle w:val="BodyText"/>
        <w:spacing w:before="1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480" w:lineRule="auto"/>
        <w:ind w:left="100" w:right="2833"/>
      </w:pPr>
      <w:r>
        <w:rPr/>
        <w:pict>
          <v:rect style="position:absolute;margin-left:323pt;margin-top:13.523137pt;width:146.914pt;height:16.164000pt;mso-position-horizontal-relative:page;mso-position-vertical-relative:paragraph;z-index:-3832" filled="true" fillcolor="#ffffff" stroked="false">
            <v:fill type="solid"/>
            <w10:wrap type="none"/>
          </v:rect>
        </w:pict>
      </w:r>
      <w:r>
        <w:rPr/>
        <w:t>Další účastník ředitel</w:t>
      </w:r>
    </w:p>
    <w:sectPr>
      <w:type w:val="continuous"/>
      <w:pgSz w:w="11900" w:h="16850"/>
      <w:pgMar w:top="1420" w:bottom="1160" w:left="1340" w:right="1200"/>
      <w:cols w:num="2" w:equalWidth="0">
        <w:col w:w="2285" w:space="2755"/>
        <w:col w:w="4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20001pt;margin-top:782.583435pt;width:9.5pt;height:13.15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9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08" w:hanging="706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55" w:hanging="7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1" w:hanging="7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7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3" w:hanging="7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9" w:hanging="7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5" w:hanging="7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1" w:hanging="7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7" w:hanging="70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40" w:hanging="708"/>
        <w:jc w:val="righ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269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9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9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9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9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9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9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9" w:hanging="70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0" w:hanging="677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251" w:hanging="6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3" w:hanging="6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5" w:hanging="6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7" w:hanging="6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9" w:hanging="6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1" w:hanging="6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3" w:hanging="6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5" w:hanging="67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05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kolman</dc:creator>
  <dcterms:created xsi:type="dcterms:W3CDTF">2021-12-09T12:20:35Z</dcterms:created>
  <dcterms:modified xsi:type="dcterms:W3CDTF">2021-12-09T12:20:35Z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2021-12-09T00:00:00Z</vt:filetime>
  </property>
</Properties>
</file>