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BA5F7" w14:textId="5FF2BA31" w:rsidR="00135BB1" w:rsidRPr="00637D27" w:rsidRDefault="00637D27" w:rsidP="00CB1B2A">
      <w:pPr>
        <w:spacing w:line="276" w:lineRule="auto"/>
        <w:jc w:val="both"/>
        <w:rPr>
          <w:rFonts w:ascii="Arial" w:hAnsi="Arial" w:cs="Arial"/>
          <w:b/>
          <w:i/>
        </w:rPr>
      </w:pPr>
      <w:r w:rsidRPr="00637D27">
        <w:rPr>
          <w:rFonts w:ascii="Arial" w:hAnsi="Arial" w:cs="Arial"/>
          <w:b/>
        </w:rPr>
        <w:t xml:space="preserve">M </w:t>
      </w:r>
      <w:proofErr w:type="spellStart"/>
      <w:r w:rsidRPr="00637D27">
        <w:rPr>
          <w:rFonts w:ascii="Arial" w:hAnsi="Arial" w:cs="Arial"/>
          <w:b/>
        </w:rPr>
        <w:t>Computers</w:t>
      </w:r>
      <w:proofErr w:type="spellEnd"/>
      <w:r w:rsidRPr="00637D27">
        <w:rPr>
          <w:rFonts w:ascii="Arial" w:hAnsi="Arial" w:cs="Arial"/>
          <w:b/>
        </w:rPr>
        <w:t xml:space="preserve"> s.r.o.</w:t>
      </w:r>
    </w:p>
    <w:p w14:paraId="3D44FA93" w14:textId="77777777" w:rsidR="00637D27" w:rsidRPr="00637D27" w:rsidRDefault="00135BB1" w:rsidP="00637D27">
      <w:r w:rsidRPr="00637D27">
        <w:rPr>
          <w:rFonts w:ascii="Arial" w:hAnsi="Arial" w:cs="Arial"/>
        </w:rPr>
        <w:t xml:space="preserve">se sídlem </w:t>
      </w:r>
      <w:bookmarkStart w:id="0" w:name="_Hlk20311798"/>
      <w:bookmarkStart w:id="1" w:name="_Hlk81398770"/>
      <w:r w:rsidR="00637D27" w:rsidRPr="00637D27">
        <w:rPr>
          <w:rFonts w:ascii="Arial" w:hAnsi="Arial" w:cs="Arial"/>
        </w:rPr>
        <w:t>Úlehlova 3100/10, 628 00 Brno-Líšeň</w:t>
      </w:r>
      <w:bookmarkEnd w:id="0"/>
    </w:p>
    <w:bookmarkEnd w:id="1"/>
    <w:p w14:paraId="03EBA5F9" w14:textId="0C3FAE5D" w:rsidR="00135BB1" w:rsidRPr="00637D27" w:rsidRDefault="00135BB1" w:rsidP="00637D27">
      <w:pPr>
        <w:jc w:val="both"/>
        <w:rPr>
          <w:rFonts w:ascii="Arial" w:hAnsi="Arial" w:cs="Arial"/>
        </w:rPr>
      </w:pPr>
      <w:r w:rsidRPr="00637D27">
        <w:rPr>
          <w:rFonts w:ascii="Arial" w:hAnsi="Arial" w:cs="Arial"/>
        </w:rPr>
        <w:t xml:space="preserve">IČ: </w:t>
      </w:r>
      <w:r w:rsidR="00637D27" w:rsidRPr="00637D27">
        <w:rPr>
          <w:rFonts w:ascii="Arial" w:hAnsi="Arial" w:cs="Arial"/>
          <w:color w:val="1A1A18"/>
        </w:rPr>
        <w:t>26042029</w:t>
      </w:r>
      <w:r w:rsidR="007825B1" w:rsidRPr="00637D27">
        <w:rPr>
          <w:rFonts w:ascii="Arial" w:hAnsi="Arial" w:cs="Arial"/>
        </w:rPr>
        <w:t>, DIČ:</w:t>
      </w:r>
      <w:r w:rsidR="00637D27" w:rsidRPr="00637D27">
        <w:rPr>
          <w:rFonts w:ascii="Arial" w:hAnsi="Arial" w:cs="Arial"/>
        </w:rPr>
        <w:t xml:space="preserve"> CZ26042029</w:t>
      </w:r>
    </w:p>
    <w:p w14:paraId="1579206B" w14:textId="272336C9" w:rsidR="000C5A20" w:rsidRPr="00637D27" w:rsidRDefault="000C5A20" w:rsidP="00EB4971">
      <w:pPr>
        <w:jc w:val="both"/>
        <w:rPr>
          <w:rFonts w:ascii="Arial" w:hAnsi="Arial" w:cs="Arial"/>
        </w:rPr>
      </w:pPr>
      <w:r w:rsidRPr="00637D27">
        <w:rPr>
          <w:rFonts w:ascii="Arial" w:hAnsi="Arial" w:cs="Arial"/>
        </w:rPr>
        <w:t xml:space="preserve">Bankovní účet: </w:t>
      </w:r>
      <w:proofErr w:type="spellStart"/>
      <w:r w:rsidR="00EA0C57">
        <w:rPr>
          <w:rFonts w:ascii="Arial" w:hAnsi="Arial" w:cs="Arial"/>
        </w:rPr>
        <w:t>xxxxxxxxxx</w:t>
      </w:r>
      <w:proofErr w:type="spellEnd"/>
    </w:p>
    <w:p w14:paraId="03EBA5FA" w14:textId="25EEA3BA" w:rsidR="00135BB1" w:rsidRPr="00637D27" w:rsidRDefault="002E350C" w:rsidP="00EB4971">
      <w:pPr>
        <w:jc w:val="both"/>
        <w:rPr>
          <w:rFonts w:ascii="Arial" w:hAnsi="Arial" w:cs="Arial"/>
        </w:rPr>
      </w:pPr>
      <w:proofErr w:type="spellStart"/>
      <w:r w:rsidRPr="00637D27">
        <w:rPr>
          <w:rFonts w:ascii="Arial" w:hAnsi="Arial" w:cs="Arial"/>
        </w:rPr>
        <w:t>Z</w:t>
      </w:r>
      <w:r w:rsidR="00135BB1" w:rsidRPr="00637D27">
        <w:rPr>
          <w:rFonts w:ascii="Arial" w:hAnsi="Arial" w:cs="Arial"/>
        </w:rPr>
        <w:t>ast</w:t>
      </w:r>
      <w:proofErr w:type="spellEnd"/>
      <w:r w:rsidRPr="00637D27">
        <w:rPr>
          <w:rFonts w:ascii="Arial" w:hAnsi="Arial" w:cs="Arial"/>
        </w:rPr>
        <w:t xml:space="preserve">.: </w:t>
      </w:r>
      <w:r w:rsidR="00637D27" w:rsidRPr="00637D27">
        <w:rPr>
          <w:rFonts w:ascii="Arial" w:hAnsi="Arial" w:cs="Arial"/>
        </w:rPr>
        <w:t>Markem Vašíčkem, jednatelem</w:t>
      </w:r>
    </w:p>
    <w:p w14:paraId="03EBA5FC" w14:textId="25499D26" w:rsidR="00EE58A5" w:rsidRPr="00637D27" w:rsidRDefault="00135BB1" w:rsidP="00637D27">
      <w:pPr>
        <w:jc w:val="both"/>
        <w:rPr>
          <w:rFonts w:ascii="Arial" w:hAnsi="Arial" w:cs="Arial"/>
        </w:rPr>
      </w:pPr>
      <w:r w:rsidRPr="00637D27">
        <w:rPr>
          <w:rFonts w:ascii="Arial" w:hAnsi="Arial" w:cs="Arial"/>
        </w:rPr>
        <w:t xml:space="preserve">zapsaná v obchodním rejstříku vedeném </w:t>
      </w:r>
      <w:r w:rsidR="00637D27" w:rsidRPr="00637D27">
        <w:rPr>
          <w:rFonts w:ascii="Arial" w:hAnsi="Arial" w:cs="Arial"/>
        </w:rPr>
        <w:t xml:space="preserve">Krajským </w:t>
      </w:r>
      <w:r w:rsidRPr="00637D27">
        <w:rPr>
          <w:rFonts w:ascii="Arial" w:hAnsi="Arial" w:cs="Arial"/>
        </w:rPr>
        <w:t>soudem v</w:t>
      </w:r>
      <w:r w:rsidR="00637D27" w:rsidRPr="00637D27">
        <w:rPr>
          <w:rFonts w:ascii="Arial" w:hAnsi="Arial" w:cs="Arial"/>
        </w:rPr>
        <w:t> Brně</w:t>
      </w:r>
      <w:r w:rsidRPr="00637D27">
        <w:rPr>
          <w:rFonts w:ascii="Arial" w:hAnsi="Arial" w:cs="Arial"/>
        </w:rPr>
        <w:t xml:space="preserve"> oddíl </w:t>
      </w:r>
      <w:r w:rsidR="00637D27" w:rsidRPr="00637D27">
        <w:rPr>
          <w:rFonts w:ascii="Arial" w:hAnsi="Arial" w:cs="Arial"/>
        </w:rPr>
        <w:t>C</w:t>
      </w:r>
      <w:r w:rsidRPr="00637D27">
        <w:rPr>
          <w:rFonts w:ascii="Arial" w:hAnsi="Arial" w:cs="Arial"/>
        </w:rPr>
        <w:t xml:space="preserve">, vložka </w:t>
      </w:r>
      <w:r w:rsidR="00637D27" w:rsidRPr="00637D27">
        <w:rPr>
          <w:rFonts w:ascii="Arial" w:hAnsi="Arial" w:cs="Arial"/>
        </w:rPr>
        <w:t>121840</w:t>
      </w:r>
    </w:p>
    <w:p w14:paraId="141E7866" w14:textId="77777777" w:rsidR="00637D27" w:rsidRPr="00637D27" w:rsidRDefault="00637D27" w:rsidP="00637D27">
      <w:pPr>
        <w:jc w:val="both"/>
        <w:rPr>
          <w:rFonts w:ascii="Arial" w:hAnsi="Arial" w:cs="Arial"/>
        </w:rPr>
      </w:pPr>
    </w:p>
    <w:p w14:paraId="03EBA5FD" w14:textId="77777777" w:rsidR="00135BB1" w:rsidRPr="00637D27" w:rsidRDefault="00135BB1" w:rsidP="00EB4971">
      <w:pPr>
        <w:ind w:left="2694" w:hanging="2694"/>
        <w:jc w:val="both"/>
        <w:rPr>
          <w:rFonts w:ascii="Arial" w:hAnsi="Arial" w:cs="Arial"/>
        </w:rPr>
      </w:pPr>
      <w:r w:rsidRPr="00637D27">
        <w:rPr>
          <w:rFonts w:ascii="Arial" w:hAnsi="Arial" w:cs="Arial"/>
        </w:rPr>
        <w:t>(dále jen „prodávající“)</w:t>
      </w:r>
    </w:p>
    <w:p w14:paraId="03EBA5FE" w14:textId="77777777" w:rsidR="00135BB1" w:rsidRPr="00637D27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637D27" w:rsidRDefault="00135BB1" w:rsidP="00EB4971">
      <w:pPr>
        <w:jc w:val="both"/>
        <w:rPr>
          <w:rFonts w:ascii="Arial" w:hAnsi="Arial" w:cs="Arial"/>
        </w:rPr>
      </w:pPr>
      <w:r w:rsidRPr="00637D27">
        <w:rPr>
          <w:rFonts w:ascii="Arial" w:hAnsi="Arial" w:cs="Arial"/>
        </w:rPr>
        <w:t>a</w:t>
      </w:r>
    </w:p>
    <w:p w14:paraId="03EBA600" w14:textId="77777777" w:rsidR="00135BB1" w:rsidRPr="00637D27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637D27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08F50CD3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6B375DB9" w:rsidR="00135BB1" w:rsidRPr="00637D27" w:rsidRDefault="00135BB1" w:rsidP="00637D27">
      <w:pPr>
        <w:numPr>
          <w:ilvl w:val="0"/>
          <w:numId w:val="1"/>
        </w:numPr>
        <w:spacing w:line="276" w:lineRule="auto"/>
        <w:jc w:val="both"/>
        <w:rPr>
          <w:rFonts w:ascii="Roboto" w:hAnsi="Roboto"/>
          <w:color w:val="000000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proofErr w:type="gramStart"/>
      <w:r w:rsidR="008A289C" w:rsidRPr="00EB4971">
        <w:rPr>
          <w:rFonts w:ascii="Arial" w:hAnsi="Arial" w:cs="Arial"/>
        </w:rPr>
        <w:t xml:space="preserve">zboží </w:t>
      </w:r>
      <w:r w:rsidR="00B83F93">
        <w:rPr>
          <w:rFonts w:ascii="Arial" w:hAnsi="Arial" w:cs="Arial"/>
        </w:rPr>
        <w:t xml:space="preserve"> dle</w:t>
      </w:r>
      <w:proofErr w:type="gramEnd"/>
      <w:r w:rsidR="00B83F93">
        <w:rPr>
          <w:rFonts w:ascii="Arial" w:hAnsi="Arial" w:cs="Arial"/>
        </w:rPr>
        <w:t xml:space="preserve"> </w:t>
      </w:r>
      <w:r w:rsidR="00FD12F9">
        <w:rPr>
          <w:rFonts w:ascii="Arial" w:hAnsi="Arial" w:cs="Arial"/>
        </w:rPr>
        <w:t xml:space="preserve">VZ </w:t>
      </w:r>
      <w:r w:rsidR="00637D27" w:rsidRPr="00637D27">
        <w:rPr>
          <w:rFonts w:ascii="Roboto" w:hAnsi="Roboto"/>
          <w:color w:val="000000"/>
        </w:rPr>
        <w:t>N006/21/V00028120</w:t>
      </w:r>
      <w:r w:rsidR="00B83F93" w:rsidRPr="00637D27">
        <w:rPr>
          <w:rFonts w:ascii="Arial" w:hAnsi="Arial" w:cs="Arial"/>
        </w:rPr>
        <w:t xml:space="preserve"> </w:t>
      </w:r>
      <w:r w:rsidR="00B2055B" w:rsidRPr="00637D27">
        <w:rPr>
          <w:rFonts w:ascii="Arial" w:hAnsi="Arial" w:cs="Arial"/>
        </w:rPr>
        <w:t>viz specifikace v Příloze č.1</w:t>
      </w:r>
      <w:r w:rsidR="00410EB7" w:rsidRPr="00637D27">
        <w:rPr>
          <w:rFonts w:ascii="Arial" w:hAnsi="Arial" w:cs="Arial"/>
        </w:rPr>
        <w:t xml:space="preserve">, která </w:t>
      </w:r>
      <w:r w:rsidR="002759C2" w:rsidRPr="00637D27">
        <w:rPr>
          <w:rFonts w:ascii="Arial" w:hAnsi="Arial" w:cs="Arial"/>
        </w:rPr>
        <w:t>tvoří nedílnou součást této smlouvy</w:t>
      </w:r>
      <w:r w:rsidRPr="00637D27">
        <w:rPr>
          <w:rFonts w:ascii="Arial" w:hAnsi="Arial" w:cs="Arial"/>
        </w:rPr>
        <w:t xml:space="preserve"> (dále jen „</w:t>
      </w:r>
      <w:r w:rsidR="00031AA6" w:rsidRPr="00637D27">
        <w:rPr>
          <w:rFonts w:ascii="Arial" w:hAnsi="Arial" w:cs="Arial"/>
        </w:rPr>
        <w:t>věc</w:t>
      </w:r>
      <w:r w:rsidRPr="00637D27">
        <w:rPr>
          <w:rFonts w:ascii="Arial" w:hAnsi="Arial" w:cs="Arial"/>
        </w:rPr>
        <w:t>“)</w:t>
      </w:r>
      <w:r w:rsidR="00AA51BA" w:rsidRPr="00637D27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13BA383B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671B45">
        <w:rPr>
          <w:rFonts w:cs="Arial"/>
          <w:sz w:val="20"/>
        </w:rPr>
        <w:t>do</w:t>
      </w:r>
      <w:r w:rsidRPr="00EB4971">
        <w:rPr>
          <w:rFonts w:cs="Arial"/>
          <w:sz w:val="20"/>
        </w:rPr>
        <w:t xml:space="preserve"> </w:t>
      </w:r>
      <w:r w:rsidR="00671B45" w:rsidRPr="00671B45">
        <w:rPr>
          <w:rFonts w:cs="Arial"/>
          <w:sz w:val="20"/>
        </w:rPr>
        <w:t>14 dní ode dne podpisu smlouv</w:t>
      </w:r>
      <w:r w:rsidR="00671B45">
        <w:rPr>
          <w:rFonts w:cs="Arial"/>
          <w:sz w:val="20"/>
        </w:rPr>
        <w:t>y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5D8074A8" w:rsidR="00135BB1" w:rsidRPr="00EB4971" w:rsidRDefault="004D1D92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Kupující je povinen zaplatit </w:t>
      </w:r>
      <w:r w:rsidR="00135BB1"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="00135BB1"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970023">
        <w:rPr>
          <w:rFonts w:cs="Arial"/>
          <w:sz w:val="20"/>
        </w:rPr>
        <w:t>199 560</w:t>
      </w:r>
      <w:r w:rsidR="00135BB1" w:rsidRPr="00EB4971">
        <w:rPr>
          <w:rFonts w:cs="Arial"/>
          <w:sz w:val="20"/>
        </w:rPr>
        <w:t>,</w:t>
      </w:r>
      <w:r w:rsidR="00671B45">
        <w:rPr>
          <w:rFonts w:cs="Arial"/>
          <w:sz w:val="20"/>
        </w:rPr>
        <w:t>00</w:t>
      </w:r>
      <w:r w:rsidR="00135BB1" w:rsidRPr="00EB4971">
        <w:rPr>
          <w:rFonts w:cs="Arial"/>
          <w:sz w:val="20"/>
        </w:rPr>
        <w:t xml:space="preserve"> Kč </w:t>
      </w:r>
      <w:r w:rsidR="0087702E" w:rsidRPr="00EB4971">
        <w:rPr>
          <w:rFonts w:cs="Arial"/>
          <w:sz w:val="20"/>
        </w:rPr>
        <w:t xml:space="preserve">+ DPH ve výši </w:t>
      </w:r>
      <w:r w:rsidR="00770908" w:rsidRPr="00770908">
        <w:rPr>
          <w:rFonts w:cs="Arial"/>
          <w:sz w:val="20"/>
        </w:rPr>
        <w:t>41 907,6</w:t>
      </w:r>
      <w:r w:rsidR="00770908">
        <w:rPr>
          <w:rFonts w:cs="Arial"/>
          <w:sz w:val="20"/>
        </w:rPr>
        <w:t>0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770908" w:rsidRPr="00770908">
        <w:rPr>
          <w:rFonts w:cs="Arial"/>
          <w:sz w:val="20"/>
        </w:rPr>
        <w:t>241 467,6</w:t>
      </w:r>
      <w:r w:rsidR="00770908">
        <w:rPr>
          <w:rFonts w:cs="Arial"/>
          <w:sz w:val="20"/>
        </w:rPr>
        <w:t>0</w:t>
      </w:r>
      <w:r w:rsidR="0087702E" w:rsidRPr="00EB4971">
        <w:rPr>
          <w:rFonts w:cs="Arial"/>
          <w:sz w:val="20"/>
        </w:rPr>
        <w:t xml:space="preserve"> Kč</w:t>
      </w:r>
      <w:r w:rsidR="00135BB1" w:rsidRPr="00EB4971">
        <w:rPr>
          <w:rFonts w:cs="Arial"/>
          <w:sz w:val="20"/>
        </w:rPr>
        <w:t>.</w:t>
      </w:r>
    </w:p>
    <w:p w14:paraId="03EBA61D" w14:textId="67F63CBA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</w:t>
      </w:r>
      <w:r w:rsidR="00671B45">
        <w:rPr>
          <w:rFonts w:ascii="Arial" w:hAnsi="Arial" w:cs="Arial"/>
          <w:sz w:val="20"/>
        </w:rPr>
        <w:t>21</w:t>
      </w:r>
      <w:r w:rsidRPr="00EB4971">
        <w:rPr>
          <w:rFonts w:ascii="Arial" w:hAnsi="Arial" w:cs="Arial"/>
          <w:sz w:val="20"/>
        </w:rPr>
        <w:t xml:space="preserve">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7BFB541B" w14:textId="61223B32" w:rsidR="005F1E4A" w:rsidRDefault="005F1E4A" w:rsidP="00CB1B2A">
      <w:pPr>
        <w:spacing w:line="276" w:lineRule="auto"/>
        <w:jc w:val="center"/>
        <w:rPr>
          <w:rFonts w:ascii="Arial" w:hAnsi="Arial" w:cs="Arial"/>
          <w:b/>
        </w:rPr>
      </w:pPr>
    </w:p>
    <w:p w14:paraId="7945D948" w14:textId="77777777" w:rsidR="005F1E4A" w:rsidRDefault="005F1E4A" w:rsidP="00CB1B2A">
      <w:pPr>
        <w:spacing w:line="276" w:lineRule="auto"/>
        <w:jc w:val="center"/>
        <w:rPr>
          <w:rFonts w:ascii="Arial" w:hAnsi="Arial" w:cs="Arial"/>
          <w:b/>
        </w:rPr>
      </w:pPr>
    </w:p>
    <w:p w14:paraId="27798709" w14:textId="77777777" w:rsidR="005F1E4A" w:rsidRDefault="005F1E4A" w:rsidP="00CB1B2A">
      <w:pPr>
        <w:spacing w:line="276" w:lineRule="auto"/>
        <w:jc w:val="center"/>
        <w:rPr>
          <w:rFonts w:ascii="Arial" w:hAnsi="Arial" w:cs="Arial"/>
          <w:b/>
        </w:rPr>
      </w:pPr>
    </w:p>
    <w:p w14:paraId="03EBA622" w14:textId="62927403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</w:t>
      </w:r>
      <w:proofErr w:type="spellStart"/>
      <w:r w:rsidR="00135BB1" w:rsidRPr="00EB4971">
        <w:rPr>
          <w:rFonts w:ascii="Arial" w:hAnsi="Arial" w:cs="Arial"/>
        </w:rPr>
        <w:t>ust</w:t>
      </w:r>
      <w:proofErr w:type="spellEnd"/>
      <w:r w:rsidR="00135BB1" w:rsidRPr="00EB4971">
        <w:rPr>
          <w:rFonts w:ascii="Arial" w:hAnsi="Arial" w:cs="Arial"/>
        </w:rPr>
        <w:t xml:space="preserve">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proofErr w:type="gramStart"/>
      <w:r w:rsidR="006C302C" w:rsidRPr="00EB4971">
        <w:rPr>
          <w:rFonts w:ascii="Arial" w:hAnsi="Arial" w:cs="Arial"/>
        </w:rPr>
        <w:t>0,1%</w:t>
      </w:r>
      <w:proofErr w:type="gramEnd"/>
      <w:r w:rsidR="006C302C" w:rsidRPr="00EB4971">
        <w:rPr>
          <w:rFonts w:ascii="Arial" w:hAnsi="Arial" w:cs="Arial"/>
        </w:rPr>
        <w:t xml:space="preserve">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30EBB455" w:rsidR="00CB1B2A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51DB49B7" w14:textId="54FADEB8" w:rsidR="005F1E4A" w:rsidRPr="005F1E4A" w:rsidRDefault="005F1E4A" w:rsidP="005F1E4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5F1E4A">
        <w:rPr>
          <w:rFonts w:ascii="Arial" w:hAnsi="Arial" w:cs="Arial"/>
        </w:rPr>
        <w:t xml:space="preserve">Prodávající prohlašuje, že detailní technická specifikace vnitřního sestavení nabízeného zařízení a položkové ceny uvedené v dokumentaci nabízeného plnění, které jsou uvedeny v příloze č. 1 této smlouvy, jsou obchodním tajemstvím, jelikož naplňují všechny pojmové znaky obchodního tajemství ve smyslu ustanovení § 504 zákona č. 89/2012 Sb., občanský zákoník, ve znění pozdějších předpisů. 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3E4651D5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</w:t>
            </w:r>
            <w:r w:rsidR="00CB13AA">
              <w:rPr>
                <w:rFonts w:ascii="Arial" w:hAnsi="Arial" w:cs="Arial"/>
              </w:rPr>
              <w:t>Brně</w:t>
            </w:r>
            <w:r w:rsidRPr="00EB4971">
              <w:rPr>
                <w:rFonts w:ascii="Arial" w:hAnsi="Arial" w:cs="Arial"/>
              </w:rPr>
              <w:t xml:space="preserve"> dne</w:t>
            </w:r>
            <w:r w:rsidR="00DC12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47041711" w:rsidR="006B0546" w:rsidRPr="00EB4971" w:rsidRDefault="00EA0C57" w:rsidP="00DC12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</w:t>
            </w:r>
            <w:proofErr w:type="spellEnd"/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7B683376" w14:textId="77777777" w:rsidR="00EB6B79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  <w:p w14:paraId="5F81467F" w14:textId="77777777" w:rsidR="00CB13AA" w:rsidRDefault="00CB13AA" w:rsidP="001F11DE">
            <w:pPr>
              <w:rPr>
                <w:rFonts w:ascii="Arial" w:hAnsi="Arial" w:cs="Arial"/>
              </w:rPr>
            </w:pPr>
          </w:p>
          <w:p w14:paraId="03EBA64F" w14:textId="43A83915" w:rsidR="00CB13AA" w:rsidRPr="00EB4971" w:rsidRDefault="00EA0C57" w:rsidP="001F11D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xxxxxxxxxxxxxxxxxxxxxx</w:t>
            </w:r>
            <w:proofErr w:type="spellEnd"/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03F00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0FC9B5D3" w:rsidR="006B0546" w:rsidRDefault="00DC12B7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Marek Vašíček, </w:t>
            </w:r>
          </w:p>
          <w:p w14:paraId="48512A35" w14:textId="549E73FC" w:rsidR="00DC12B7" w:rsidRPr="00EB4971" w:rsidRDefault="00DC12B7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jednatel společnosti M </w:t>
            </w:r>
            <w:proofErr w:type="spellStart"/>
            <w:r>
              <w:rPr>
                <w:rFonts w:ascii="Arial" w:hAnsi="Arial" w:cs="Arial"/>
                <w:i/>
              </w:rPr>
              <w:t>Computers</w:t>
            </w:r>
            <w:proofErr w:type="spellEnd"/>
            <w:r>
              <w:rPr>
                <w:rFonts w:ascii="Arial" w:hAnsi="Arial" w:cs="Arial"/>
                <w:i/>
              </w:rPr>
              <w:t xml:space="preserve"> s.r.o.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B3D9755" w14:textId="5B63197E" w:rsidR="006B0546" w:rsidRDefault="00E03F00" w:rsidP="005F1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Martin Souček, PhD.</w:t>
            </w:r>
          </w:p>
          <w:p w14:paraId="5311AD93" w14:textId="653D4FE6" w:rsidR="00E03F00" w:rsidRDefault="00E03F00" w:rsidP="005F1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Odboru digitalizace a informačních systémů</w:t>
            </w:r>
          </w:p>
          <w:p w14:paraId="03EBA659" w14:textId="0C66B515" w:rsidR="00E03F00" w:rsidRPr="00EB4971" w:rsidRDefault="00E03F00" w:rsidP="005F1E4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77777777" w:rsidR="00135BB1" w:rsidRPr="00EB4971" w:rsidRDefault="00135BB1" w:rsidP="005F1E4A">
      <w:pPr>
        <w:spacing w:line="276" w:lineRule="auto"/>
        <w:jc w:val="both"/>
        <w:rPr>
          <w:rFonts w:ascii="Arial" w:hAnsi="Arial" w:cs="Arial"/>
        </w:rPr>
      </w:pPr>
    </w:p>
    <w:sectPr w:rsidR="00135BB1" w:rsidRPr="00EB4971" w:rsidSect="005F1E4A">
      <w:headerReference w:type="default" r:id="rId10"/>
      <w:footerReference w:type="default" r:id="rId11"/>
      <w:pgSz w:w="11907" w:h="16840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B74AE" w14:textId="77777777" w:rsidR="000D5BE1" w:rsidRDefault="000D5BE1">
      <w:r>
        <w:separator/>
      </w:r>
    </w:p>
  </w:endnote>
  <w:endnote w:type="continuationSeparator" w:id="0">
    <w:p w14:paraId="5B44B326" w14:textId="77777777" w:rsidR="000D5BE1" w:rsidRDefault="000D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3410E" w14:textId="77777777" w:rsidR="000D5BE1" w:rsidRDefault="000D5BE1">
      <w:r>
        <w:separator/>
      </w:r>
    </w:p>
  </w:footnote>
  <w:footnote w:type="continuationSeparator" w:id="0">
    <w:p w14:paraId="6388E568" w14:textId="77777777" w:rsidR="000D5BE1" w:rsidRDefault="000D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D753" w14:textId="13C918F9" w:rsidR="00E33300" w:rsidRDefault="00E33300" w:rsidP="001A539B">
    <w:pPr>
      <w:pStyle w:val="Zhlav"/>
      <w:jc w:val="right"/>
    </w:pPr>
    <w:r w:rsidRPr="00E33300">
      <w:t>2SMLO21214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86964"/>
    <w:rsid w:val="00094D44"/>
    <w:rsid w:val="000A00EB"/>
    <w:rsid w:val="000C5A20"/>
    <w:rsid w:val="000D5BE1"/>
    <w:rsid w:val="00134E01"/>
    <w:rsid w:val="00135BB1"/>
    <w:rsid w:val="00171B43"/>
    <w:rsid w:val="00195BDA"/>
    <w:rsid w:val="001A2B7A"/>
    <w:rsid w:val="001A539B"/>
    <w:rsid w:val="001D0730"/>
    <w:rsid w:val="001D40F1"/>
    <w:rsid w:val="002116E8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77A24"/>
    <w:rsid w:val="00391EBA"/>
    <w:rsid w:val="003A16C2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553625"/>
    <w:rsid w:val="005B1086"/>
    <w:rsid w:val="005D6561"/>
    <w:rsid w:val="005E3F58"/>
    <w:rsid w:val="005F1E4A"/>
    <w:rsid w:val="00637D27"/>
    <w:rsid w:val="0065096B"/>
    <w:rsid w:val="00653D99"/>
    <w:rsid w:val="00671B45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70908"/>
    <w:rsid w:val="007825B1"/>
    <w:rsid w:val="007B0EBB"/>
    <w:rsid w:val="007B2994"/>
    <w:rsid w:val="007C4A67"/>
    <w:rsid w:val="007E5BDA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17085"/>
    <w:rsid w:val="0093262F"/>
    <w:rsid w:val="00957820"/>
    <w:rsid w:val="00970023"/>
    <w:rsid w:val="00996521"/>
    <w:rsid w:val="009A6026"/>
    <w:rsid w:val="009F2B03"/>
    <w:rsid w:val="00A23393"/>
    <w:rsid w:val="00A34FC3"/>
    <w:rsid w:val="00A55667"/>
    <w:rsid w:val="00AA51BA"/>
    <w:rsid w:val="00AB522C"/>
    <w:rsid w:val="00AB7062"/>
    <w:rsid w:val="00B07093"/>
    <w:rsid w:val="00B2055B"/>
    <w:rsid w:val="00B634FA"/>
    <w:rsid w:val="00B83F93"/>
    <w:rsid w:val="00B860CE"/>
    <w:rsid w:val="00BA07EA"/>
    <w:rsid w:val="00BD7B58"/>
    <w:rsid w:val="00C34B54"/>
    <w:rsid w:val="00C5355D"/>
    <w:rsid w:val="00C73BB9"/>
    <w:rsid w:val="00C80D98"/>
    <w:rsid w:val="00CB13AA"/>
    <w:rsid w:val="00CB1B2A"/>
    <w:rsid w:val="00CC0185"/>
    <w:rsid w:val="00CE0D2D"/>
    <w:rsid w:val="00DC12B7"/>
    <w:rsid w:val="00DC724C"/>
    <w:rsid w:val="00E03E97"/>
    <w:rsid w:val="00E03F00"/>
    <w:rsid w:val="00E15C1D"/>
    <w:rsid w:val="00E33300"/>
    <w:rsid w:val="00E36A0C"/>
    <w:rsid w:val="00E40CD7"/>
    <w:rsid w:val="00E417A2"/>
    <w:rsid w:val="00E452B7"/>
    <w:rsid w:val="00E5272F"/>
    <w:rsid w:val="00E57A41"/>
    <w:rsid w:val="00E86086"/>
    <w:rsid w:val="00EA035E"/>
    <w:rsid w:val="00EA0C57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71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95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772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37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4D7ED-4B4C-4278-A884-6EF316348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2021-12-08T12:56:00Z</dcterms:created>
  <dcterms:modified xsi:type="dcterms:W3CDTF">2021-12-08T12:58:00Z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