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2218" w14:textId="5D150325" w:rsidR="00920715" w:rsidRPr="003F15AB" w:rsidRDefault="00920715" w:rsidP="003F15AB">
      <w:pPr>
        <w:jc w:val="center"/>
        <w:rPr>
          <w:b/>
          <w:sz w:val="28"/>
          <w:szCs w:val="28"/>
        </w:rPr>
      </w:pPr>
      <w:r w:rsidRPr="007A3A8C">
        <w:rPr>
          <w:b/>
          <w:sz w:val="28"/>
          <w:szCs w:val="28"/>
          <w:lang w:val="en-US"/>
        </w:rPr>
        <w:t>Amendment</w:t>
      </w:r>
      <w:r w:rsidRPr="00920715">
        <w:rPr>
          <w:b/>
          <w:sz w:val="28"/>
          <w:szCs w:val="28"/>
        </w:rPr>
        <w:t xml:space="preserve"> to Software License, Service and Support Agreement</w:t>
      </w:r>
    </w:p>
    <w:p w14:paraId="77D32219" w14:textId="4EC8BB6E" w:rsidR="00D76402" w:rsidRPr="00D76402" w:rsidRDefault="00D76402" w:rsidP="00C72973">
      <w:pPr>
        <w:pStyle w:val="NoSpacing"/>
        <w:jc w:val="both"/>
        <w:rPr>
          <w:lang w:val="en-US"/>
        </w:rPr>
      </w:pPr>
      <w:r w:rsidRPr="00D76402">
        <w:rPr>
          <w:lang w:val="en-US"/>
        </w:rPr>
        <w:t>This amendment (the “</w:t>
      </w:r>
      <w:r w:rsidRPr="00920715">
        <w:rPr>
          <w:b/>
          <w:lang w:val="en-US"/>
        </w:rPr>
        <w:t>Amendment</w:t>
      </w:r>
      <w:r w:rsidRPr="00D76402">
        <w:rPr>
          <w:lang w:val="en-US"/>
        </w:rPr>
        <w:t>”) is entered into o</w:t>
      </w:r>
      <w:r w:rsidR="00920715">
        <w:rPr>
          <w:lang w:val="en-US"/>
        </w:rPr>
        <w:t xml:space="preserve">n the </w:t>
      </w:r>
      <w:r w:rsidR="00316B48">
        <w:rPr>
          <w:lang w:val="en-US"/>
        </w:rPr>
        <w:t>__</w:t>
      </w:r>
      <w:r w:rsidRPr="00D76402">
        <w:rPr>
          <w:lang w:val="en-US"/>
        </w:rPr>
        <w:t xml:space="preserve">day of  </w:t>
      </w:r>
      <w:r w:rsidR="00316B48">
        <w:rPr>
          <w:lang w:val="en-US"/>
        </w:rPr>
        <w:t>______</w:t>
      </w:r>
      <w:r w:rsidRPr="00D76402">
        <w:rPr>
          <w:lang w:val="en-US"/>
        </w:rPr>
        <w:t>, 20</w:t>
      </w:r>
      <w:r w:rsidR="00316B48">
        <w:rPr>
          <w:lang w:val="en-US"/>
        </w:rPr>
        <w:t>21</w:t>
      </w:r>
      <w:r w:rsidRPr="00D76402">
        <w:rPr>
          <w:lang w:val="en-US"/>
        </w:rPr>
        <w:t xml:space="preserve"> (the  </w:t>
      </w:r>
    </w:p>
    <w:p w14:paraId="77D3221C" w14:textId="1AA5EAA9" w:rsidR="00920715" w:rsidRDefault="00D76402" w:rsidP="00C72973">
      <w:pPr>
        <w:pStyle w:val="NoSpacing"/>
        <w:jc w:val="both"/>
        <w:rPr>
          <w:lang w:val="en-US"/>
        </w:rPr>
      </w:pPr>
      <w:r w:rsidRPr="00D76402">
        <w:rPr>
          <w:lang w:val="en-US"/>
        </w:rPr>
        <w:t>“</w:t>
      </w:r>
      <w:r w:rsidRPr="00920715">
        <w:rPr>
          <w:b/>
          <w:lang w:val="en-US"/>
        </w:rPr>
        <w:t>Amendment Effective Date</w:t>
      </w:r>
      <w:r w:rsidRPr="00D76402">
        <w:rPr>
          <w:lang w:val="en-US"/>
        </w:rPr>
        <w:t>”), by and between Ex Libris Ltd. with offices at Malha Technological Park, Jerusalem, Israel (</w:t>
      </w:r>
      <w:r w:rsidR="001E3C71">
        <w:rPr>
          <w:lang w:val="en-US"/>
        </w:rPr>
        <w:t>hereinafter</w:t>
      </w:r>
      <w:r w:rsidRPr="00D76402">
        <w:rPr>
          <w:lang w:val="en-US"/>
        </w:rPr>
        <w:t xml:space="preserve"> “</w:t>
      </w:r>
      <w:r w:rsidRPr="00920715">
        <w:rPr>
          <w:b/>
          <w:lang w:val="en-US"/>
        </w:rPr>
        <w:t>LIBRIS</w:t>
      </w:r>
      <w:r w:rsidRPr="00D76402">
        <w:rPr>
          <w:lang w:val="en-US"/>
        </w:rPr>
        <w:t xml:space="preserve">”) and the </w:t>
      </w:r>
      <w:r w:rsidRPr="00920715">
        <w:rPr>
          <w:b/>
          <w:lang w:val="en-US"/>
        </w:rPr>
        <w:t>National Library of Technology</w:t>
      </w:r>
      <w:r w:rsidRPr="00D76402">
        <w:rPr>
          <w:lang w:val="en-US"/>
        </w:rPr>
        <w:t xml:space="preserve">, successor to the State Technical Library (incorrectly referred to as State Technical University in the </w:t>
      </w:r>
      <w:r w:rsidRPr="00920715">
        <w:rPr>
          <w:b/>
          <w:lang w:val="en-US"/>
        </w:rPr>
        <w:t>Agreement</w:t>
      </w:r>
      <w:r w:rsidRPr="00D76402">
        <w:rPr>
          <w:lang w:val="en-US"/>
        </w:rPr>
        <w:t>), an institution duly incorporated and registered under the laws of the Czech Republic and having its principal place of business at Technická 6, 160 80 Praha 6 – Dejvice, Czech Republic (the “</w:t>
      </w:r>
      <w:r w:rsidRPr="00920715">
        <w:rPr>
          <w:b/>
          <w:lang w:val="en-US"/>
        </w:rPr>
        <w:t>USER</w:t>
      </w:r>
      <w:r w:rsidRPr="00D76402">
        <w:rPr>
          <w:lang w:val="en-US"/>
        </w:rPr>
        <w:t xml:space="preserve">”).  </w:t>
      </w:r>
    </w:p>
    <w:p w14:paraId="77D3221D" w14:textId="77777777" w:rsidR="0010476E" w:rsidRPr="00D76402" w:rsidRDefault="0010476E" w:rsidP="00C72973">
      <w:pPr>
        <w:pStyle w:val="NoSpacing"/>
        <w:jc w:val="both"/>
        <w:rPr>
          <w:lang w:val="en-US"/>
        </w:rPr>
      </w:pPr>
    </w:p>
    <w:p w14:paraId="77D3221E" w14:textId="77777777" w:rsidR="00D76402" w:rsidRPr="00D76402" w:rsidRDefault="00D76402" w:rsidP="00C72973">
      <w:pPr>
        <w:jc w:val="both"/>
        <w:rPr>
          <w:lang w:val="en-US"/>
        </w:rPr>
      </w:pPr>
      <w:r w:rsidRPr="00D76402">
        <w:rPr>
          <w:b/>
          <w:bCs/>
          <w:lang w:val="en-US"/>
        </w:rPr>
        <w:t xml:space="preserve">WITNESSETH: </w:t>
      </w:r>
    </w:p>
    <w:p w14:paraId="77D3221F" w14:textId="77777777" w:rsidR="00D76402" w:rsidRPr="00D76402" w:rsidRDefault="00D76402" w:rsidP="00C72973">
      <w:pPr>
        <w:pStyle w:val="NoSpacing"/>
        <w:jc w:val="both"/>
        <w:rPr>
          <w:lang w:val="en-US"/>
        </w:rPr>
      </w:pPr>
      <w:r w:rsidRPr="00877898">
        <w:rPr>
          <w:b/>
          <w:lang w:val="en-US"/>
        </w:rPr>
        <w:t>WHEREAS</w:t>
      </w:r>
      <w:r w:rsidRPr="00D76402">
        <w:rPr>
          <w:lang w:val="en-US"/>
        </w:rPr>
        <w:t xml:space="preserve">, the parties have entered into a Software License, Services and Support Agreement </w:t>
      </w:r>
    </w:p>
    <w:p w14:paraId="77D32220" w14:textId="6A282770" w:rsidR="00D76402" w:rsidRDefault="00D76402" w:rsidP="00C72973">
      <w:pPr>
        <w:pStyle w:val="NoSpacing"/>
        <w:jc w:val="both"/>
        <w:rPr>
          <w:lang w:val="en-US"/>
        </w:rPr>
      </w:pPr>
      <w:r w:rsidRPr="00D76402">
        <w:rPr>
          <w:lang w:val="en-US"/>
        </w:rPr>
        <w:t>dated December 13th, 2001 (the “</w:t>
      </w:r>
      <w:r w:rsidRPr="00877898">
        <w:rPr>
          <w:b/>
          <w:lang w:val="en-US"/>
        </w:rPr>
        <w:t>Agreement</w:t>
      </w:r>
      <w:r w:rsidRPr="00D76402">
        <w:rPr>
          <w:lang w:val="en-US"/>
        </w:rPr>
        <w:t xml:space="preserve">”), </w:t>
      </w:r>
    </w:p>
    <w:p w14:paraId="77D32221" w14:textId="77777777" w:rsidR="00877898" w:rsidRPr="00D76402" w:rsidRDefault="00877898" w:rsidP="00C72973">
      <w:pPr>
        <w:pStyle w:val="NoSpacing"/>
        <w:jc w:val="both"/>
        <w:rPr>
          <w:lang w:val="en-US"/>
        </w:rPr>
      </w:pPr>
    </w:p>
    <w:p w14:paraId="77D32222" w14:textId="77777777" w:rsidR="00D76402" w:rsidRDefault="00D76402" w:rsidP="00C72973">
      <w:pPr>
        <w:pStyle w:val="NoSpacing"/>
        <w:jc w:val="both"/>
        <w:rPr>
          <w:lang w:val="en-US"/>
        </w:rPr>
      </w:pPr>
      <w:r w:rsidRPr="00877898">
        <w:rPr>
          <w:b/>
          <w:lang w:val="en-US"/>
        </w:rPr>
        <w:t>WHEREAS</w:t>
      </w:r>
      <w:r w:rsidRPr="00D76402">
        <w:rPr>
          <w:lang w:val="en-US"/>
        </w:rPr>
        <w:t xml:space="preserve">, the parties wish to amend the terms of the Agreement as further set forth herein, </w:t>
      </w:r>
    </w:p>
    <w:p w14:paraId="77D32223" w14:textId="77777777" w:rsidR="00877898" w:rsidRPr="00D76402" w:rsidRDefault="00877898" w:rsidP="00C72973">
      <w:pPr>
        <w:pStyle w:val="NoSpacing"/>
        <w:jc w:val="both"/>
        <w:rPr>
          <w:lang w:val="en-US"/>
        </w:rPr>
      </w:pPr>
    </w:p>
    <w:p w14:paraId="77D32225" w14:textId="0E5FA480" w:rsidR="00D76402" w:rsidRDefault="00D76402" w:rsidP="00C72973">
      <w:pPr>
        <w:pStyle w:val="NoSpacing"/>
        <w:jc w:val="both"/>
        <w:rPr>
          <w:lang w:val="en-US"/>
        </w:rPr>
      </w:pPr>
      <w:r w:rsidRPr="00877898">
        <w:rPr>
          <w:b/>
          <w:lang w:val="en-US"/>
        </w:rPr>
        <w:t>WHEREAS</w:t>
      </w:r>
      <w:r w:rsidRPr="00D76402">
        <w:rPr>
          <w:lang w:val="en-US"/>
        </w:rPr>
        <w:t xml:space="preserve">, User wishes to add one </w:t>
      </w:r>
      <w:r w:rsidR="00316B48">
        <w:rPr>
          <w:lang w:val="en-US"/>
        </w:rPr>
        <w:t xml:space="preserve">additional SFX instance </w:t>
      </w:r>
      <w:r w:rsidR="003F15AB">
        <w:rPr>
          <w:lang w:val="en-US"/>
        </w:rPr>
        <w:t xml:space="preserve">(the “Additional SFX Instance”) </w:t>
      </w:r>
      <w:r w:rsidR="00316B48">
        <w:rPr>
          <w:lang w:val="en-US"/>
        </w:rPr>
        <w:t>and LIBRIS wishes to provide such additional instance on a subscription basis as set forth below</w:t>
      </w:r>
      <w:r w:rsidRPr="00D76402">
        <w:rPr>
          <w:lang w:val="en-US"/>
        </w:rPr>
        <w:t xml:space="preserve">, </w:t>
      </w:r>
    </w:p>
    <w:p w14:paraId="77D32226" w14:textId="77777777" w:rsidR="00877898" w:rsidRPr="00D76402" w:rsidRDefault="00877898" w:rsidP="00C72973">
      <w:pPr>
        <w:pStyle w:val="NoSpacing"/>
        <w:jc w:val="both"/>
        <w:rPr>
          <w:lang w:val="en-US"/>
        </w:rPr>
      </w:pPr>
    </w:p>
    <w:p w14:paraId="77D32227" w14:textId="77777777" w:rsidR="00D76402" w:rsidRDefault="00D76402" w:rsidP="00C72973">
      <w:pPr>
        <w:pStyle w:val="NoSpacing"/>
        <w:jc w:val="both"/>
        <w:rPr>
          <w:lang w:val="en-US"/>
        </w:rPr>
      </w:pPr>
      <w:r w:rsidRPr="00877898">
        <w:rPr>
          <w:b/>
          <w:lang w:val="en-US"/>
        </w:rPr>
        <w:t>NOW THEREFORE</w:t>
      </w:r>
      <w:r w:rsidRPr="00D76402">
        <w:rPr>
          <w:lang w:val="en-US"/>
        </w:rPr>
        <w:t xml:space="preserve">, the parties stipulate and agree as follows: </w:t>
      </w:r>
    </w:p>
    <w:p w14:paraId="77D32228" w14:textId="77777777" w:rsidR="00877898" w:rsidRPr="00D76402" w:rsidRDefault="00877898" w:rsidP="00C72973">
      <w:pPr>
        <w:pStyle w:val="NoSpacing"/>
        <w:jc w:val="both"/>
        <w:rPr>
          <w:lang w:val="en-US"/>
        </w:rPr>
      </w:pPr>
    </w:p>
    <w:p w14:paraId="77D32229" w14:textId="79882020" w:rsidR="00D76402" w:rsidRPr="00D76402" w:rsidRDefault="00D76402" w:rsidP="00C72973">
      <w:pPr>
        <w:pStyle w:val="NoSpacing"/>
        <w:jc w:val="both"/>
        <w:rPr>
          <w:lang w:val="en-US"/>
        </w:rPr>
      </w:pPr>
      <w:r w:rsidRPr="00D76402">
        <w:rPr>
          <w:lang w:val="en-US"/>
        </w:rPr>
        <w:t xml:space="preserve">A.  All capitalized terms have the meaning attributed to them in the </w:t>
      </w:r>
      <w:r w:rsidRPr="00877898">
        <w:rPr>
          <w:b/>
          <w:lang w:val="en-US"/>
        </w:rPr>
        <w:t>Agreement</w:t>
      </w:r>
      <w:r w:rsidRPr="00D76402">
        <w:rPr>
          <w:lang w:val="en-US"/>
        </w:rPr>
        <w:t xml:space="preserve"> unless </w:t>
      </w:r>
    </w:p>
    <w:p w14:paraId="77D3222A" w14:textId="77777777" w:rsidR="00D76402" w:rsidRDefault="00D76402" w:rsidP="00C72973">
      <w:pPr>
        <w:pStyle w:val="NoSpacing"/>
        <w:jc w:val="both"/>
        <w:rPr>
          <w:lang w:val="en-US"/>
        </w:rPr>
      </w:pPr>
      <w:r w:rsidRPr="00D76402">
        <w:rPr>
          <w:lang w:val="en-US"/>
        </w:rPr>
        <w:t xml:space="preserve">specifically stated otherwise in this </w:t>
      </w:r>
      <w:r w:rsidRPr="00877898">
        <w:rPr>
          <w:b/>
          <w:lang w:val="en-US"/>
        </w:rPr>
        <w:t>Amendment</w:t>
      </w:r>
      <w:r w:rsidRPr="00D76402">
        <w:rPr>
          <w:lang w:val="en-US"/>
        </w:rPr>
        <w:t xml:space="preserve">.  </w:t>
      </w:r>
    </w:p>
    <w:p w14:paraId="77D3222B" w14:textId="77777777" w:rsidR="00877898" w:rsidRPr="00D76402" w:rsidRDefault="00877898" w:rsidP="00C72973">
      <w:pPr>
        <w:pStyle w:val="NoSpacing"/>
        <w:jc w:val="both"/>
        <w:rPr>
          <w:lang w:val="en-US"/>
        </w:rPr>
      </w:pPr>
    </w:p>
    <w:p w14:paraId="77D3222C" w14:textId="77777777" w:rsidR="00D76402" w:rsidRDefault="00D76402" w:rsidP="00C72973">
      <w:pPr>
        <w:jc w:val="both"/>
        <w:rPr>
          <w:lang w:val="en-US"/>
        </w:rPr>
      </w:pPr>
      <w:r w:rsidRPr="00D76402">
        <w:rPr>
          <w:lang w:val="en-US"/>
        </w:rPr>
        <w:t xml:space="preserve">B.  The Appendix A to the </w:t>
      </w:r>
      <w:r w:rsidRPr="00877898">
        <w:rPr>
          <w:b/>
          <w:lang w:val="en-US"/>
        </w:rPr>
        <w:t>AGREEMENT</w:t>
      </w:r>
      <w:r w:rsidRPr="00D76402">
        <w:rPr>
          <w:lang w:val="en-US"/>
        </w:rPr>
        <w:t xml:space="preserve"> is extended as follows: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D76402" w14:paraId="77D32233" w14:textId="77777777" w:rsidTr="00D76402">
        <w:tc>
          <w:tcPr>
            <w:tcW w:w="8755" w:type="dxa"/>
          </w:tcPr>
          <w:p w14:paraId="77D3222D" w14:textId="77777777" w:rsidR="00D76402" w:rsidRPr="00D76402" w:rsidRDefault="00D76402" w:rsidP="00D76402">
            <w:pPr>
              <w:rPr>
                <w:lang w:val="en-US"/>
              </w:rPr>
            </w:pPr>
            <w:r w:rsidRPr="00D76402">
              <w:rPr>
                <w:b/>
                <w:bCs/>
                <w:lang w:val="en-US"/>
              </w:rPr>
              <w:t xml:space="preserve">Part 1 of the Agreement – Licenses </w:t>
            </w:r>
          </w:p>
          <w:p w14:paraId="77D3222E" w14:textId="77777777" w:rsidR="00D76402" w:rsidRPr="00D76402" w:rsidRDefault="00D76402" w:rsidP="00D76402">
            <w:pPr>
              <w:rPr>
                <w:lang w:val="en-US"/>
              </w:rPr>
            </w:pPr>
            <w:r w:rsidRPr="00D76402">
              <w:rPr>
                <w:lang w:val="en-US"/>
              </w:rPr>
              <w:t xml:space="preserve">  </w:t>
            </w:r>
          </w:p>
          <w:p w14:paraId="77D3222F" w14:textId="77777777" w:rsidR="00D76402" w:rsidRPr="00D76402" w:rsidRDefault="00D76402" w:rsidP="00D76402">
            <w:pPr>
              <w:rPr>
                <w:u w:val="single"/>
                <w:lang w:val="en-US"/>
              </w:rPr>
            </w:pPr>
            <w:r w:rsidRPr="00D76402">
              <w:rPr>
                <w:u w:val="single"/>
                <w:lang w:val="en-US"/>
              </w:rPr>
              <w:t xml:space="preserve">The following shall be added: </w:t>
            </w:r>
          </w:p>
          <w:p w14:paraId="77D32230" w14:textId="77777777" w:rsidR="00D76402" w:rsidRPr="00D76402" w:rsidRDefault="00D76402" w:rsidP="00D76402">
            <w:pPr>
              <w:rPr>
                <w:lang w:val="en-US"/>
              </w:rPr>
            </w:pPr>
            <w:r w:rsidRPr="00D76402">
              <w:rPr>
                <w:lang w:val="en-US"/>
              </w:rPr>
              <w:t xml:space="preserve">  </w:t>
            </w:r>
          </w:p>
          <w:p w14:paraId="099A592C" w14:textId="14F5B435" w:rsidR="003F15AB" w:rsidRDefault="003F15AB" w:rsidP="00D76402">
            <w:pPr>
              <w:rPr>
                <w:lang w:val="en-US"/>
              </w:rPr>
            </w:pPr>
            <w:r>
              <w:rPr>
                <w:lang w:val="en-US"/>
              </w:rPr>
              <w:t xml:space="preserve">Subscription. </w:t>
            </w:r>
            <w:r w:rsidRPr="00A805E0">
              <w:rPr>
                <w:rFonts w:cs="Times New Roman"/>
              </w:rPr>
              <w:t>In consideration of the full payment of the annual subscription fee (the "Subscription Fee")</w:t>
            </w:r>
            <w:r>
              <w:rPr>
                <w:rFonts w:cs="Times New Roman"/>
              </w:rPr>
              <w:t xml:space="preserve"> for the </w:t>
            </w:r>
            <w:r>
              <w:rPr>
                <w:lang w:val="en-US"/>
              </w:rPr>
              <w:t>Additional SFX Instance</w:t>
            </w:r>
            <w:r w:rsidRPr="00A805E0">
              <w:rPr>
                <w:rFonts w:cs="Times New Roman"/>
              </w:rPr>
              <w:t xml:space="preserve">, and subject to the terms and conditions </w:t>
            </w:r>
            <w:r>
              <w:rPr>
                <w:rFonts w:cs="Times New Roman"/>
              </w:rPr>
              <w:t>of the Agreement and this Amendment,</w:t>
            </w:r>
            <w:r w:rsidRPr="00A805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LIBRIS</w:t>
            </w:r>
            <w:r w:rsidRPr="00A805E0">
              <w:rPr>
                <w:rFonts w:cs="Times New Roman"/>
              </w:rPr>
              <w:t xml:space="preserve"> hereby grants to User, and User hereby accepts from </w:t>
            </w:r>
            <w:r>
              <w:rPr>
                <w:rFonts w:cs="Times New Roman"/>
              </w:rPr>
              <w:t>LIBRIS</w:t>
            </w:r>
            <w:r w:rsidRPr="00A805E0">
              <w:rPr>
                <w:rFonts w:cs="Times New Roman"/>
              </w:rPr>
              <w:t xml:space="preserve">, a non-exclusive non-transferable right to: (a) use the </w:t>
            </w:r>
            <w:r>
              <w:rPr>
                <w:lang w:val="en-US"/>
              </w:rPr>
              <w:t>Additional SFX Instance</w:t>
            </w:r>
            <w:r w:rsidRPr="00A805E0">
              <w:rPr>
                <w:rFonts w:cs="Times New Roman"/>
              </w:rPr>
              <w:t xml:space="preserve"> during each annual subscription period for which the Subscription Fee has been prepaid in full, </w:t>
            </w:r>
            <w:r>
              <w:rPr>
                <w:rFonts w:cs="Times New Roman"/>
              </w:rPr>
              <w:t xml:space="preserve">installed </w:t>
            </w:r>
            <w:r w:rsidRPr="00A805E0">
              <w:rPr>
                <w:rFonts w:cs="Times New Roman"/>
              </w:rPr>
              <w:t>in the Approved Technical Environment at the Location</w:t>
            </w:r>
            <w:r>
              <w:rPr>
                <w:rFonts w:cs="Times New Roman"/>
              </w:rPr>
              <w:t>(</w:t>
            </w:r>
            <w:r w:rsidRPr="00A805E0">
              <w:rPr>
                <w:rFonts w:cs="Times New Roman"/>
              </w:rPr>
              <w:t>s</w:t>
            </w:r>
            <w:r>
              <w:rPr>
                <w:rFonts w:cs="Times New Roman"/>
              </w:rPr>
              <w:t>)</w:t>
            </w:r>
            <w:r w:rsidRPr="00A805E0">
              <w:rPr>
                <w:rFonts w:cs="Times New Roman"/>
              </w:rPr>
              <w:t xml:space="preserve">, only for the purpose of operating and managing a </w:t>
            </w:r>
            <w:r>
              <w:rPr>
                <w:rFonts w:cs="Times New Roman"/>
              </w:rPr>
              <w:t>link resolver</w:t>
            </w:r>
            <w:r w:rsidRPr="00A805E0">
              <w:rPr>
                <w:rFonts w:cs="Times New Roman"/>
              </w:rPr>
              <w:t xml:space="preserve"> system </w:t>
            </w:r>
            <w:r>
              <w:rPr>
                <w:rFonts w:cs="Times New Roman"/>
              </w:rPr>
              <w:t xml:space="preserve">for its internal use </w:t>
            </w:r>
            <w:r w:rsidRPr="00A805E0">
              <w:rPr>
                <w:rFonts w:cs="Times New Roman"/>
              </w:rPr>
              <w:t xml:space="preserve">for the Locations for up to </w:t>
            </w:r>
            <w:r>
              <w:rPr>
                <w:rFonts w:cs="Times New Roman"/>
              </w:rPr>
              <w:t>_________FTE‘s</w:t>
            </w:r>
            <w:r w:rsidRPr="00A805E0">
              <w:rPr>
                <w:rFonts w:cs="Times New Roman"/>
              </w:rPr>
              <w:t xml:space="preserve">; and (b) receive, during such periods, the maintenance and support services described </w:t>
            </w:r>
            <w:r>
              <w:rPr>
                <w:rFonts w:cs="Times New Roman"/>
              </w:rPr>
              <w:t>in the Agreement</w:t>
            </w:r>
            <w:r w:rsidRPr="00A805E0">
              <w:rPr>
                <w:rFonts w:cs="Times New Roman"/>
              </w:rPr>
              <w:t xml:space="preserve"> (such right to use the </w:t>
            </w:r>
            <w:r>
              <w:rPr>
                <w:lang w:val="en-US"/>
              </w:rPr>
              <w:t>Additional SFX Instance</w:t>
            </w:r>
            <w:r w:rsidRPr="00A805E0">
              <w:rPr>
                <w:rFonts w:cs="Times New Roman"/>
              </w:rPr>
              <w:t xml:space="preserve"> and receive such services is referred to herein as the “Subscription”).</w:t>
            </w:r>
          </w:p>
          <w:p w14:paraId="33C5B96D" w14:textId="77777777" w:rsidR="003F15AB" w:rsidRDefault="003F15AB" w:rsidP="00D76402">
            <w:pPr>
              <w:rPr>
                <w:lang w:val="en-US"/>
              </w:rPr>
            </w:pPr>
          </w:p>
          <w:p w14:paraId="77D32231" w14:textId="7769EA5A" w:rsidR="00D76402" w:rsidRPr="003F15AB" w:rsidRDefault="003F15AB" w:rsidP="003F15AB">
            <w:r>
              <w:rPr>
                <w:lang w:val="en-US"/>
              </w:rPr>
              <w:t>Annual Subscription</w:t>
            </w:r>
            <w:r w:rsidR="00D76402" w:rsidRPr="00D76402">
              <w:rPr>
                <w:lang w:val="en-US"/>
              </w:rPr>
              <w:t xml:space="preserve"> </w:t>
            </w:r>
            <w:r w:rsidR="001E3C71">
              <w:rPr>
                <w:lang w:val="en-US"/>
              </w:rPr>
              <w:t>F</w:t>
            </w:r>
            <w:r w:rsidR="00D76402" w:rsidRPr="00D76402">
              <w:rPr>
                <w:lang w:val="en-US"/>
              </w:rPr>
              <w:t xml:space="preserve">ee for </w:t>
            </w:r>
            <w:r>
              <w:rPr>
                <w:lang w:val="en-US"/>
              </w:rPr>
              <w:t>Additional SFX Instance:</w:t>
            </w:r>
            <w:r>
              <w:t xml:space="preserve"> </w:t>
            </w:r>
            <w:r>
              <w:tab/>
            </w:r>
            <w:r>
              <w:rPr>
                <w:lang w:val="en-US"/>
              </w:rPr>
              <w:t>5,000.00</w:t>
            </w:r>
            <w:r w:rsidR="00D76402" w:rsidRPr="00D76402">
              <w:rPr>
                <w:lang w:val="en-US"/>
              </w:rPr>
              <w:t xml:space="preserve"> US$ </w:t>
            </w:r>
          </w:p>
          <w:p w14:paraId="1A8BD9AE" w14:textId="022AB312" w:rsidR="003F15AB" w:rsidRDefault="003F15AB" w:rsidP="00D76402">
            <w:pPr>
              <w:rPr>
                <w:lang w:val="en-US"/>
              </w:rPr>
            </w:pPr>
          </w:p>
          <w:p w14:paraId="3B245843" w14:textId="20D27C3A" w:rsidR="003F15AB" w:rsidRDefault="003F15AB" w:rsidP="003F15AB">
            <w:pPr>
              <w:rPr>
                <w:lang w:val="en-US"/>
              </w:rPr>
            </w:pPr>
            <w:r>
              <w:rPr>
                <w:lang w:val="en-US"/>
              </w:rPr>
              <w:t xml:space="preserve">One-time administrative fee: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500.00 </w:t>
            </w:r>
            <w:r w:rsidRPr="00D76402">
              <w:rPr>
                <w:lang w:val="en-US"/>
              </w:rPr>
              <w:t>US$</w:t>
            </w:r>
          </w:p>
          <w:p w14:paraId="45F49230" w14:textId="52992277" w:rsidR="00E52F86" w:rsidRDefault="00E52F86" w:rsidP="003F15AB">
            <w:pPr>
              <w:rPr>
                <w:lang w:val="en-US"/>
              </w:rPr>
            </w:pPr>
          </w:p>
          <w:p w14:paraId="57CBFFB4" w14:textId="2E6CAD10" w:rsidR="00E52F86" w:rsidRDefault="00E52F86" w:rsidP="003F15AB">
            <w:pPr>
              <w:rPr>
                <w:lang w:val="en-US"/>
              </w:rPr>
            </w:pPr>
            <w:r>
              <w:rPr>
                <w:lang w:val="en-US"/>
              </w:rPr>
              <w:t>All fees are exclusive of VAT</w:t>
            </w:r>
            <w:r w:rsidR="00284014">
              <w:rPr>
                <w:lang w:val="en-US"/>
              </w:rPr>
              <w:t>, payment terms: 60 days from the invoice date</w:t>
            </w:r>
          </w:p>
          <w:p w14:paraId="1A3811C3" w14:textId="77777777" w:rsidR="00284014" w:rsidRDefault="00284014" w:rsidP="003F15AB">
            <w:pPr>
              <w:rPr>
                <w:lang w:val="en-US"/>
              </w:rPr>
            </w:pPr>
          </w:p>
          <w:p w14:paraId="2DEE8865" w14:textId="05F86D66" w:rsidR="00284014" w:rsidRPr="00284014" w:rsidRDefault="00284014" w:rsidP="00284014">
            <w:pPr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val="en-US"/>
              </w:rPr>
              <w:t>Payment terms:</w:t>
            </w:r>
            <w:r w:rsidRPr="0028401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84014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 xml:space="preserve">The Subscription Fee is for the one-year period commencing on the 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amendment signature date</w:t>
            </w:r>
            <w:r w:rsidRPr="00284014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 xml:space="preserve">, and each subsequent Subscription Fee is for the one-year period commencing on each anniversary thereof. </w:t>
            </w:r>
          </w:p>
          <w:p w14:paraId="2D85D957" w14:textId="77777777" w:rsidR="00284014" w:rsidRPr="00284014" w:rsidRDefault="00284014" w:rsidP="003F15AB">
            <w:pPr>
              <w:rPr>
                <w:lang w:val="en-US"/>
              </w:rPr>
            </w:pPr>
          </w:p>
          <w:p w14:paraId="77D32232" w14:textId="77777777" w:rsidR="00D76402" w:rsidRDefault="00D76402" w:rsidP="00D76402"/>
        </w:tc>
      </w:tr>
    </w:tbl>
    <w:p w14:paraId="77D32234" w14:textId="77777777" w:rsidR="00D76402" w:rsidRDefault="00D76402" w:rsidP="00D76402"/>
    <w:p w14:paraId="77D32264" w14:textId="355072AF" w:rsidR="00D76402" w:rsidRDefault="007A3A8C" w:rsidP="003F15AB">
      <w:r>
        <w:t>F</w:t>
      </w:r>
      <w:r w:rsidR="00D76402">
        <w:t xml:space="preserve">. Other than as amended hereby, the provisions of the </w:t>
      </w:r>
      <w:r w:rsidR="00D76402" w:rsidRPr="00D76402">
        <w:rPr>
          <w:b/>
        </w:rPr>
        <w:t>Agreement</w:t>
      </w:r>
      <w:r w:rsidR="00D76402">
        <w:t xml:space="preserve"> shall remain in full force and </w:t>
      </w:r>
    </w:p>
    <w:p w14:paraId="77D32265" w14:textId="77777777" w:rsidR="00D76402" w:rsidRDefault="00D76402" w:rsidP="00D76402">
      <w:pPr>
        <w:pStyle w:val="NoSpacing"/>
      </w:pPr>
      <w:r>
        <w:t xml:space="preserve">effect, insofar as they do not contradict the terms of this Amendment.  </w:t>
      </w:r>
    </w:p>
    <w:p w14:paraId="77D32269" w14:textId="77777777" w:rsidR="00D76402" w:rsidRDefault="00D76402" w:rsidP="00D76402"/>
    <w:p w14:paraId="77D3226A" w14:textId="77777777" w:rsidR="00D76402" w:rsidRDefault="00D76402" w:rsidP="00D76402">
      <w:pPr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IN WITNESS WHEREOF, the parties hereto have executed this Amendment to be effective as of the day </w:t>
      </w:r>
      <w:r w:rsidRPr="00A53938">
        <w:rPr>
          <w:rFonts w:eastAsia="Times New Roman" w:cs="Times New Roman"/>
          <w:b/>
          <w:bCs/>
          <w:color w:val="000000"/>
          <w:sz w:val="23"/>
          <w:szCs w:val="23"/>
        </w:rPr>
        <w:t xml:space="preserve">and year written above. </w:t>
      </w:r>
    </w:p>
    <w:p w14:paraId="77D3226B" w14:textId="77777777" w:rsidR="00D76402" w:rsidRDefault="00D76402" w:rsidP="00D76402"/>
    <w:p w14:paraId="77D3226C" w14:textId="77777777" w:rsidR="00D76402" w:rsidRDefault="00D76402" w:rsidP="00D76402">
      <w:pPr>
        <w:rPr>
          <w:b/>
          <w:bCs/>
          <w:i/>
          <w:iCs/>
        </w:rPr>
      </w:pPr>
      <w:r>
        <w:rPr>
          <w:b/>
          <w:bCs/>
          <w:i/>
          <w:iCs/>
        </w:rPr>
        <w:t>ACCEPTED AND AGREED</w:t>
      </w:r>
    </w:p>
    <w:p w14:paraId="77D3226D" w14:textId="77777777" w:rsidR="00D76402" w:rsidRDefault="00D76402" w:rsidP="00D76402">
      <w:pPr>
        <w:rPr>
          <w:b/>
          <w:bCs/>
          <w:lang w:val="en-US"/>
        </w:rPr>
      </w:pPr>
      <w:r w:rsidRPr="00D76402">
        <w:rPr>
          <w:b/>
          <w:bCs/>
          <w:lang w:val="en-US"/>
        </w:rPr>
        <w:t>EX LIBRIS Ltd.</w:t>
      </w:r>
    </w:p>
    <w:p w14:paraId="77D3226E" w14:textId="77777777" w:rsidR="00D76402" w:rsidRDefault="00D76402" w:rsidP="00D76402">
      <w:pPr>
        <w:pStyle w:val="NoSpacing"/>
      </w:pPr>
      <w:r>
        <w:t xml:space="preserve">By: ____________________ </w:t>
      </w:r>
    </w:p>
    <w:p w14:paraId="77D3226F" w14:textId="77777777" w:rsidR="00D76402" w:rsidRDefault="00D76402" w:rsidP="00D76402">
      <w:pPr>
        <w:pStyle w:val="NoSpacing"/>
      </w:pPr>
      <w:r>
        <w:t xml:space="preserve">Name: </w:t>
      </w:r>
    </w:p>
    <w:p w14:paraId="77D32270" w14:textId="77777777" w:rsidR="00D76402" w:rsidRDefault="00D76402" w:rsidP="00D76402">
      <w:pPr>
        <w:pStyle w:val="NoSpacing"/>
      </w:pPr>
      <w:r>
        <w:t xml:space="preserve">Title: </w:t>
      </w:r>
    </w:p>
    <w:p w14:paraId="77D32271" w14:textId="77777777" w:rsidR="00D76402" w:rsidRDefault="00D76402" w:rsidP="00D76402">
      <w:pPr>
        <w:pStyle w:val="NoSpacing"/>
      </w:pPr>
      <w:r>
        <w:t>Date:</w:t>
      </w:r>
    </w:p>
    <w:p w14:paraId="77D32272" w14:textId="77777777" w:rsidR="00D76402" w:rsidRDefault="00D76402" w:rsidP="00D76402"/>
    <w:p w14:paraId="77D32273" w14:textId="77777777" w:rsidR="00D76402" w:rsidRDefault="00D76402" w:rsidP="00D76402"/>
    <w:p w14:paraId="77D32274" w14:textId="77777777" w:rsidR="00D76402" w:rsidRDefault="00D76402" w:rsidP="00D76402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 USER </w:t>
      </w:r>
    </w:p>
    <w:p w14:paraId="77D32275" w14:textId="77777777" w:rsidR="00D76402" w:rsidRDefault="00D76402" w:rsidP="00D76402">
      <w:pPr>
        <w:pStyle w:val="NoSpacing"/>
      </w:pPr>
      <w:r>
        <w:t xml:space="preserve"> By:_____________________ </w:t>
      </w:r>
    </w:p>
    <w:p w14:paraId="77D32276" w14:textId="77777777" w:rsidR="00D76402" w:rsidRDefault="00D76402" w:rsidP="00D76402">
      <w:pPr>
        <w:pStyle w:val="NoSpacing"/>
      </w:pPr>
      <w:r>
        <w:t xml:space="preserve"> Name: </w:t>
      </w:r>
    </w:p>
    <w:p w14:paraId="77D32277" w14:textId="77777777" w:rsidR="00D76402" w:rsidRDefault="00D76402" w:rsidP="00D7640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 Title: </w:t>
      </w:r>
    </w:p>
    <w:p w14:paraId="77D32278" w14:textId="77777777" w:rsidR="00D76402" w:rsidRDefault="00D76402" w:rsidP="00D7640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 Date: </w:t>
      </w:r>
    </w:p>
    <w:p w14:paraId="77D32279" w14:textId="77777777" w:rsidR="00D76402" w:rsidRDefault="00D76402" w:rsidP="00D76402"/>
    <w:p w14:paraId="77D3227A" w14:textId="77777777" w:rsidR="00D76402" w:rsidRDefault="00D76402" w:rsidP="00D76402"/>
    <w:p w14:paraId="77D3227B" w14:textId="77777777" w:rsidR="00D76402" w:rsidRDefault="00D76402" w:rsidP="00D76402"/>
    <w:sectPr w:rsidR="00D7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667E"/>
    <w:multiLevelType w:val="hybridMultilevel"/>
    <w:tmpl w:val="572CB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02"/>
    <w:rsid w:val="000F3FB1"/>
    <w:rsid w:val="0010476E"/>
    <w:rsid w:val="0012041D"/>
    <w:rsid w:val="001E3C71"/>
    <w:rsid w:val="001E7962"/>
    <w:rsid w:val="00284014"/>
    <w:rsid w:val="00302247"/>
    <w:rsid w:val="00316B48"/>
    <w:rsid w:val="003F15AB"/>
    <w:rsid w:val="00453EAB"/>
    <w:rsid w:val="007021E2"/>
    <w:rsid w:val="007A3A8C"/>
    <w:rsid w:val="007F03AA"/>
    <w:rsid w:val="00810E58"/>
    <w:rsid w:val="00877898"/>
    <w:rsid w:val="00920715"/>
    <w:rsid w:val="00B74428"/>
    <w:rsid w:val="00BB6886"/>
    <w:rsid w:val="00C5119B"/>
    <w:rsid w:val="00C72973"/>
    <w:rsid w:val="00D76402"/>
    <w:rsid w:val="00DB5DE1"/>
    <w:rsid w:val="00DC030F"/>
    <w:rsid w:val="00E52F86"/>
    <w:rsid w:val="00ED164A"/>
    <w:rsid w:val="00E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2214"/>
  <w15:docId w15:val="{0688F3EE-AEDB-4FE7-8D9D-EA58FA99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64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6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4362-3CC5-4E80-82F1-AD4619D7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EXlibris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Pavel Synek</cp:lastModifiedBy>
  <cp:revision>2</cp:revision>
  <cp:lastPrinted>2014-04-11T12:46:00Z</cp:lastPrinted>
  <dcterms:created xsi:type="dcterms:W3CDTF">2021-12-07T09:20:00Z</dcterms:created>
  <dcterms:modified xsi:type="dcterms:W3CDTF">2021-12-07T09:20:00Z</dcterms:modified>
</cp:coreProperties>
</file>