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D881F" w14:textId="77777777" w:rsidR="003A045F" w:rsidRPr="00EF3CDF" w:rsidRDefault="003A045F" w:rsidP="008B63D9">
      <w:pPr>
        <w:spacing w:after="0" w:line="240" w:lineRule="auto"/>
        <w:ind w:left="284" w:right="260"/>
        <w:jc w:val="both"/>
        <w:rPr>
          <w:rFonts w:cs="Arial"/>
          <w:b/>
        </w:rPr>
      </w:pPr>
      <w:r w:rsidRPr="00EF3CDF">
        <w:rPr>
          <w:rFonts w:cs="Arial"/>
          <w:b/>
        </w:rPr>
        <w:t>Nakladatelství C. H. Beck, s.r.o.,</w:t>
      </w:r>
    </w:p>
    <w:p w14:paraId="6FBBC767" w14:textId="77777777" w:rsidR="008109B4" w:rsidRPr="00EF3CDF" w:rsidRDefault="003A045F" w:rsidP="008B63D9">
      <w:pPr>
        <w:spacing w:after="0" w:line="240" w:lineRule="auto"/>
        <w:ind w:left="284" w:right="260"/>
        <w:jc w:val="both"/>
        <w:rPr>
          <w:rFonts w:cs="Arial"/>
        </w:rPr>
      </w:pPr>
      <w:r w:rsidRPr="00EF3CDF">
        <w:rPr>
          <w:rFonts w:cs="Arial"/>
        </w:rPr>
        <w:t>se sídlem Jungmannova 750/34, Praha 1, PSČ 110 00,</w:t>
      </w:r>
    </w:p>
    <w:p w14:paraId="11DDB8D3" w14:textId="4F85A638" w:rsidR="003A045F" w:rsidRPr="00EF3CDF" w:rsidRDefault="003A045F" w:rsidP="008B63D9">
      <w:pPr>
        <w:spacing w:after="0" w:line="240" w:lineRule="auto"/>
        <w:ind w:left="284" w:right="260"/>
        <w:jc w:val="both"/>
        <w:rPr>
          <w:rFonts w:cs="Arial"/>
        </w:rPr>
      </w:pPr>
      <w:r w:rsidRPr="00EF3CDF">
        <w:rPr>
          <w:rFonts w:cs="Arial"/>
        </w:rPr>
        <w:t>IČ</w:t>
      </w:r>
      <w:r w:rsidR="005D6E1D">
        <w:rPr>
          <w:rFonts w:cs="Arial"/>
        </w:rPr>
        <w:t>O</w:t>
      </w:r>
      <w:r w:rsidRPr="00EF3CDF">
        <w:rPr>
          <w:rFonts w:cs="Arial"/>
        </w:rPr>
        <w:t>: 24146978, DIČ: CZ24146978,</w:t>
      </w:r>
    </w:p>
    <w:p w14:paraId="02083A9E" w14:textId="64FA2C45" w:rsidR="003A045F" w:rsidRPr="00EF3CDF" w:rsidRDefault="003A045F" w:rsidP="008B63D9">
      <w:pPr>
        <w:spacing w:after="0" w:line="240" w:lineRule="auto"/>
        <w:ind w:left="284" w:right="260"/>
        <w:jc w:val="both"/>
        <w:rPr>
          <w:rFonts w:cs="Arial"/>
        </w:rPr>
      </w:pPr>
      <w:r w:rsidRPr="00EF3CDF">
        <w:rPr>
          <w:rFonts w:cs="Arial"/>
        </w:rPr>
        <w:t xml:space="preserve">zastoupena </w:t>
      </w:r>
      <w:proofErr w:type="gramStart"/>
      <w:r w:rsidR="001447FF">
        <w:rPr>
          <w:rFonts w:cs="Arial"/>
        </w:rPr>
        <w:t>…….</w:t>
      </w:r>
      <w:proofErr w:type="gramEnd"/>
      <w:r w:rsidRPr="00EF3CDF">
        <w:rPr>
          <w:rFonts w:cs="Arial"/>
        </w:rPr>
        <w:t>,</w:t>
      </w:r>
      <w:r w:rsidR="008109B4" w:rsidRPr="00EF3CDF">
        <w:rPr>
          <w:rFonts w:cs="Arial"/>
        </w:rPr>
        <w:t xml:space="preserve"> </w:t>
      </w:r>
    </w:p>
    <w:p w14:paraId="10BD6936" w14:textId="77777777" w:rsidR="00960A36" w:rsidRPr="00EF3CDF" w:rsidRDefault="00960A36" w:rsidP="008B63D9">
      <w:pPr>
        <w:spacing w:after="0" w:line="240" w:lineRule="auto"/>
        <w:ind w:left="284" w:right="260"/>
        <w:jc w:val="both"/>
        <w:rPr>
          <w:rFonts w:cs="Arial"/>
        </w:rPr>
      </w:pPr>
      <w:r w:rsidRPr="00EF3CDF">
        <w:rPr>
          <w:rFonts w:cs="Arial"/>
        </w:rPr>
        <w:t xml:space="preserve">bankovní spojení: </w:t>
      </w:r>
      <w:r w:rsidRPr="00EF3CDF">
        <w:rPr>
          <w:rStyle w:val="platne1"/>
          <w:rFonts w:cs="Arial"/>
        </w:rPr>
        <w:t xml:space="preserve">3189313046/2700, </w:t>
      </w:r>
      <w:proofErr w:type="spellStart"/>
      <w:r w:rsidRPr="00EF3CDF">
        <w:rPr>
          <w:rStyle w:val="platne1"/>
          <w:rFonts w:cs="Arial"/>
        </w:rPr>
        <w:t>UniCredit</w:t>
      </w:r>
      <w:proofErr w:type="spellEnd"/>
      <w:r w:rsidRPr="00EF3CDF">
        <w:rPr>
          <w:rStyle w:val="platne1"/>
          <w:rFonts w:cs="Arial"/>
        </w:rPr>
        <w:t xml:space="preserve"> Bank Czech Republic, a.s., </w:t>
      </w:r>
    </w:p>
    <w:p w14:paraId="4D79FDBB" w14:textId="77777777" w:rsidR="003A045F" w:rsidRPr="00EF3CDF" w:rsidRDefault="003A045F" w:rsidP="008B63D9">
      <w:pPr>
        <w:spacing w:after="0" w:line="240" w:lineRule="auto"/>
        <w:ind w:left="284" w:right="260"/>
        <w:jc w:val="both"/>
        <w:rPr>
          <w:rFonts w:cs="Arial"/>
        </w:rPr>
      </w:pPr>
      <w:r w:rsidRPr="00EF3CDF">
        <w:rPr>
          <w:rFonts w:cs="Arial"/>
        </w:rPr>
        <w:t xml:space="preserve">zapsané v obchodním rejstříku vedeném Městským soudem v Praze, odd. C, </w:t>
      </w:r>
      <w:proofErr w:type="spellStart"/>
      <w:r w:rsidRPr="00EF3CDF">
        <w:rPr>
          <w:rFonts w:cs="Arial"/>
        </w:rPr>
        <w:t>vl</w:t>
      </w:r>
      <w:proofErr w:type="spellEnd"/>
      <w:r w:rsidRPr="00EF3CDF">
        <w:rPr>
          <w:rFonts w:cs="Arial"/>
        </w:rPr>
        <w:t>. 182960,</w:t>
      </w:r>
    </w:p>
    <w:p w14:paraId="5C07D9DB" w14:textId="77777777" w:rsidR="003A045F" w:rsidRPr="00EF3CDF" w:rsidRDefault="003A045F" w:rsidP="008B63D9">
      <w:pPr>
        <w:spacing w:after="0" w:line="240" w:lineRule="auto"/>
        <w:ind w:left="284" w:right="260"/>
        <w:jc w:val="both"/>
        <w:rPr>
          <w:rFonts w:cs="Arial"/>
          <w:b/>
        </w:rPr>
      </w:pPr>
      <w:r w:rsidRPr="00EF3CDF">
        <w:rPr>
          <w:rFonts w:cs="Arial"/>
        </w:rPr>
        <w:t xml:space="preserve">dále jen </w:t>
      </w:r>
      <w:r w:rsidRPr="00EF3CDF">
        <w:rPr>
          <w:rFonts w:cs="Arial"/>
          <w:b/>
        </w:rPr>
        <w:t>„poskytovatel“</w:t>
      </w:r>
    </w:p>
    <w:p w14:paraId="343D881E" w14:textId="77777777" w:rsidR="003A045F" w:rsidRPr="00EF3CDF" w:rsidRDefault="003A045F" w:rsidP="008B63D9">
      <w:pPr>
        <w:spacing w:before="240" w:after="0" w:line="240" w:lineRule="auto"/>
        <w:ind w:left="284" w:right="260"/>
        <w:jc w:val="both"/>
        <w:rPr>
          <w:rFonts w:cs="Arial"/>
        </w:rPr>
      </w:pPr>
      <w:r w:rsidRPr="00EF3CDF">
        <w:rPr>
          <w:rFonts w:cs="Arial"/>
        </w:rPr>
        <w:t>a</w:t>
      </w:r>
    </w:p>
    <w:p w14:paraId="379BAD68" w14:textId="77777777" w:rsidR="00A007AF" w:rsidRDefault="009730C1" w:rsidP="00A007AF">
      <w:pPr>
        <w:spacing w:before="240" w:after="0"/>
        <w:ind w:left="284" w:right="260"/>
        <w:jc w:val="both"/>
        <w:rPr>
          <w:b/>
        </w:rPr>
      </w:pPr>
      <w:bookmarkStart w:id="0" w:name="jmeno_firmy"/>
      <w:bookmarkEnd w:id="0"/>
      <w:r>
        <w:rPr>
          <w:b/>
        </w:rPr>
        <w:t>Národní technická knihovna</w:t>
      </w:r>
      <w:r w:rsidR="00A007AF">
        <w:rPr>
          <w:b/>
        </w:rPr>
        <w:t>,</w:t>
      </w:r>
    </w:p>
    <w:p w14:paraId="5F5A177B" w14:textId="797C06FC" w:rsidR="005D6E1D" w:rsidRDefault="005D6E1D" w:rsidP="00A007AF">
      <w:pPr>
        <w:spacing w:after="0"/>
        <w:ind w:left="284" w:right="260"/>
        <w:jc w:val="both"/>
        <w:rPr>
          <w:rFonts w:cs="Arial"/>
        </w:rPr>
      </w:pPr>
      <w:r w:rsidRPr="005D6E1D">
        <w:rPr>
          <w:rFonts w:cs="Arial"/>
        </w:rPr>
        <w:t>příspěvková organizace Ministerstva školství, mládeže a tělovýchovy</w:t>
      </w:r>
    </w:p>
    <w:p w14:paraId="6A5845B2" w14:textId="1092808B" w:rsidR="00A007AF" w:rsidRDefault="00A007AF" w:rsidP="00A007AF">
      <w:pPr>
        <w:spacing w:after="0"/>
        <w:ind w:left="284" w:right="260"/>
        <w:jc w:val="both"/>
      </w:pPr>
      <w:r>
        <w:rPr>
          <w:rFonts w:cs="Arial"/>
        </w:rPr>
        <w:t xml:space="preserve">se sídlem </w:t>
      </w:r>
      <w:bookmarkStart w:id="1" w:name="ulice"/>
      <w:bookmarkEnd w:id="1"/>
      <w:r w:rsidR="009730C1">
        <w:rPr>
          <w:rFonts w:cs="Arial"/>
        </w:rPr>
        <w:t>Technická 2710/6</w:t>
      </w:r>
      <w:r>
        <w:rPr>
          <w:rFonts w:cs="Arial"/>
        </w:rPr>
        <w:t>,</w:t>
      </w:r>
      <w:bookmarkStart w:id="2" w:name="mesto"/>
      <w:bookmarkEnd w:id="2"/>
      <w:r w:rsidR="00544623">
        <w:rPr>
          <w:rFonts w:cs="Arial"/>
        </w:rPr>
        <w:t xml:space="preserve"> </w:t>
      </w:r>
      <w:r w:rsidR="009730C1">
        <w:rPr>
          <w:rFonts w:cs="Arial"/>
        </w:rPr>
        <w:t>Praha 6 - Dejvice</w:t>
      </w:r>
      <w:r>
        <w:rPr>
          <w:rFonts w:cs="Arial"/>
        </w:rPr>
        <w:t>,</w:t>
      </w:r>
      <w:r w:rsidR="00544623">
        <w:rPr>
          <w:rFonts w:cs="Arial"/>
        </w:rPr>
        <w:t xml:space="preserve"> PSČ</w:t>
      </w:r>
      <w:r>
        <w:rPr>
          <w:rFonts w:cs="Arial"/>
        </w:rPr>
        <w:t xml:space="preserve"> </w:t>
      </w:r>
      <w:bookmarkStart w:id="3" w:name="psc"/>
      <w:bookmarkEnd w:id="3"/>
      <w:r w:rsidR="009730C1">
        <w:rPr>
          <w:rFonts w:cs="Arial"/>
        </w:rPr>
        <w:t>160</w:t>
      </w:r>
      <w:r w:rsidR="00544623">
        <w:rPr>
          <w:rFonts w:cs="Arial"/>
        </w:rPr>
        <w:t xml:space="preserve"> </w:t>
      </w:r>
      <w:r w:rsidR="009730C1">
        <w:rPr>
          <w:rFonts w:cs="Arial"/>
        </w:rPr>
        <w:t>00</w:t>
      </w:r>
      <w:r>
        <w:rPr>
          <w:rFonts w:cs="Arial"/>
        </w:rPr>
        <w:t>,</w:t>
      </w:r>
    </w:p>
    <w:p w14:paraId="5776B27A" w14:textId="0AF02931" w:rsidR="00A007AF" w:rsidRDefault="00A007AF" w:rsidP="00A007AF">
      <w:pPr>
        <w:spacing w:after="0"/>
        <w:ind w:left="284" w:right="260"/>
        <w:jc w:val="both"/>
      </w:pPr>
      <w:r>
        <w:rPr>
          <w:rFonts w:cs="Arial"/>
        </w:rPr>
        <w:t>IČ</w:t>
      </w:r>
      <w:r w:rsidR="005D6E1D">
        <w:rPr>
          <w:rFonts w:cs="Arial"/>
        </w:rPr>
        <w:t>O</w:t>
      </w:r>
      <w:r>
        <w:rPr>
          <w:rFonts w:cs="Arial"/>
        </w:rPr>
        <w:t xml:space="preserve">: </w:t>
      </w:r>
      <w:bookmarkStart w:id="4" w:name="ico"/>
      <w:bookmarkEnd w:id="4"/>
      <w:r w:rsidR="009730C1">
        <w:rPr>
          <w:rFonts w:cs="Arial"/>
        </w:rPr>
        <w:t>61387142</w:t>
      </w:r>
      <w:r>
        <w:rPr>
          <w:rFonts w:cs="Arial"/>
        </w:rPr>
        <w:t>, DIČ:</w:t>
      </w:r>
      <w:r>
        <w:t xml:space="preserve"> </w:t>
      </w:r>
      <w:bookmarkStart w:id="5" w:name="dic"/>
      <w:bookmarkEnd w:id="5"/>
      <w:r w:rsidR="009730C1">
        <w:t>CZ61387142</w:t>
      </w:r>
      <w:r>
        <w:rPr>
          <w:rFonts w:cs="Arial"/>
        </w:rPr>
        <w:t>,</w:t>
      </w:r>
    </w:p>
    <w:p w14:paraId="7FA9D2F9" w14:textId="5B206520" w:rsidR="00A007AF" w:rsidRDefault="001447FF" w:rsidP="00A007AF">
      <w:pPr>
        <w:spacing w:after="0" w:line="240" w:lineRule="auto"/>
        <w:ind w:left="284" w:right="260"/>
        <w:jc w:val="both"/>
        <w:rPr>
          <w:rFonts w:cs="Arial"/>
        </w:rPr>
      </w:pPr>
      <w:r>
        <w:rPr>
          <w:rFonts w:cs="Arial"/>
        </w:rPr>
        <w:t>Z</w:t>
      </w:r>
      <w:r w:rsidR="00A007AF">
        <w:rPr>
          <w:rFonts w:cs="Arial"/>
        </w:rPr>
        <w:t>astoupena</w:t>
      </w:r>
      <w:bookmarkStart w:id="6" w:name="osoba"/>
      <w:bookmarkEnd w:id="6"/>
      <w:proofErr w:type="gramStart"/>
      <w:r>
        <w:rPr>
          <w:rFonts w:cs="Arial"/>
        </w:rPr>
        <w:t>…….</w:t>
      </w:r>
      <w:proofErr w:type="gramEnd"/>
      <w:r w:rsidR="00A24116">
        <w:rPr>
          <w:rFonts w:cs="Arial"/>
        </w:rPr>
        <w:t>,</w:t>
      </w:r>
    </w:p>
    <w:p w14:paraId="310FA6CD" w14:textId="77777777" w:rsidR="00A007AF" w:rsidRDefault="00A007AF" w:rsidP="00A007AF">
      <w:pPr>
        <w:spacing w:after="0" w:line="240" w:lineRule="auto"/>
        <w:ind w:left="284" w:right="260"/>
        <w:jc w:val="both"/>
        <w:rPr>
          <w:rFonts w:cs="Arial"/>
          <w:b/>
        </w:rPr>
      </w:pPr>
      <w:r>
        <w:rPr>
          <w:rFonts w:cs="Arial"/>
        </w:rPr>
        <w:t xml:space="preserve">dále jen </w:t>
      </w:r>
      <w:r>
        <w:rPr>
          <w:rFonts w:cs="Arial"/>
          <w:b/>
        </w:rPr>
        <w:t>„uživatel“</w:t>
      </w:r>
    </w:p>
    <w:p w14:paraId="407EC231" w14:textId="77777777" w:rsidR="00A007AF" w:rsidRDefault="00A007AF" w:rsidP="00A007AF">
      <w:pPr>
        <w:spacing w:after="0" w:line="240" w:lineRule="auto"/>
        <w:ind w:left="284" w:right="260"/>
        <w:jc w:val="both"/>
        <w:rPr>
          <w:rFonts w:cs="Arial"/>
        </w:rPr>
      </w:pPr>
    </w:p>
    <w:p w14:paraId="59ECA2B9" w14:textId="692A6AB6" w:rsidR="007B2A46" w:rsidRDefault="007B2A46" w:rsidP="007B2A46">
      <w:pPr>
        <w:spacing w:after="0" w:line="240" w:lineRule="auto"/>
        <w:ind w:left="284" w:right="260"/>
        <w:jc w:val="both"/>
        <w:rPr>
          <w:rFonts w:cs="Arial"/>
        </w:rPr>
      </w:pPr>
      <w:r>
        <w:rPr>
          <w:rFonts w:cs="Arial"/>
        </w:rPr>
        <w:t>uzavírají tuto smlouvu:</w:t>
      </w:r>
    </w:p>
    <w:p w14:paraId="662B73A3" w14:textId="77777777" w:rsidR="007B2A46" w:rsidRDefault="007B2A46" w:rsidP="007B2A46">
      <w:pPr>
        <w:spacing w:after="0" w:line="240" w:lineRule="auto"/>
        <w:ind w:left="284" w:right="260"/>
        <w:jc w:val="both"/>
        <w:rPr>
          <w:rFonts w:cs="Arial"/>
        </w:rPr>
      </w:pPr>
    </w:p>
    <w:p w14:paraId="2C002BA7" w14:textId="77777777" w:rsidR="007B2A46" w:rsidRDefault="007B2A46" w:rsidP="007B2A46">
      <w:pPr>
        <w:pStyle w:val="ListParagraph"/>
        <w:numPr>
          <w:ilvl w:val="0"/>
          <w:numId w:val="10"/>
        </w:numPr>
        <w:spacing w:before="120" w:after="100" w:afterAutospacing="1" w:line="240" w:lineRule="auto"/>
        <w:ind w:left="709" w:right="260" w:hanging="425"/>
        <w:jc w:val="both"/>
        <w:rPr>
          <w:rFonts w:cs="Arial"/>
          <w:b/>
        </w:rPr>
      </w:pPr>
      <w:r>
        <w:rPr>
          <w:rFonts w:cs="Arial"/>
          <w:b/>
        </w:rPr>
        <w:t>Úvodní ustanovení</w:t>
      </w:r>
    </w:p>
    <w:p w14:paraId="1D976DAD" w14:textId="42674ED2" w:rsidR="007B2A46" w:rsidRDefault="007B2A46" w:rsidP="007B2A46">
      <w:pPr>
        <w:pStyle w:val="ListParagraph"/>
        <w:numPr>
          <w:ilvl w:val="1"/>
          <w:numId w:val="11"/>
        </w:numPr>
        <w:spacing w:before="120" w:after="0" w:line="240" w:lineRule="auto"/>
        <w:ind w:left="709" w:right="260" w:hanging="425"/>
        <w:jc w:val="both"/>
        <w:rPr>
          <w:rFonts w:cs="Arial"/>
        </w:rPr>
      </w:pPr>
      <w:r>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8" w:history="1">
        <w:r>
          <w:rPr>
            <w:rStyle w:val="Hyperlink"/>
            <w:rFonts w:cs="Arial"/>
          </w:rPr>
          <w:t>www.beck-online.cz</w:t>
        </w:r>
      </w:hyperlink>
      <w:r>
        <w:rPr>
          <w:rFonts w:cs="Arial"/>
        </w:rPr>
        <w:t xml:space="preserve"> (dále jen </w:t>
      </w:r>
      <w:r>
        <w:rPr>
          <w:rFonts w:cs="Arial"/>
          <w:b/>
        </w:rPr>
        <w:t>„Beck-online“</w:t>
      </w:r>
      <w:r>
        <w:rPr>
          <w:rFonts w:cs="Arial"/>
        </w:rPr>
        <w:t>).</w:t>
      </w:r>
    </w:p>
    <w:p w14:paraId="55574EAD" w14:textId="01B13E1C" w:rsidR="007B2A46" w:rsidRDefault="007B2A46" w:rsidP="007B2A46">
      <w:pPr>
        <w:pStyle w:val="ListParagraph"/>
        <w:numPr>
          <w:ilvl w:val="1"/>
          <w:numId w:val="11"/>
        </w:numPr>
        <w:spacing w:before="80" w:after="0" w:line="240" w:lineRule="auto"/>
        <w:ind w:left="709" w:right="260" w:hanging="425"/>
        <w:jc w:val="both"/>
        <w:rPr>
          <w:rFonts w:cs="Arial"/>
        </w:rPr>
      </w:pPr>
      <w:r>
        <w:rPr>
          <w:rFonts w:cs="Arial"/>
        </w:rPr>
        <w:t xml:space="preserve">Právní vztahy mezi uživatelem a poskytovatelem se řídí touto smlouvou a všeobecnými obchodními podmínkami poskytovatele, verze 4/2018 (dále jen </w:t>
      </w:r>
      <w:r>
        <w:rPr>
          <w:rFonts w:cs="Arial"/>
          <w:b/>
        </w:rPr>
        <w:t>„VOP“</w:t>
      </w:r>
      <w:r>
        <w:rPr>
          <w:rFonts w:cs="Arial"/>
        </w:rPr>
        <w:t xml:space="preserve">) a „Informacemi o zpracování osobních údajů“ (dále jen </w:t>
      </w:r>
      <w:r>
        <w:rPr>
          <w:rFonts w:cs="Arial"/>
          <w:b/>
        </w:rPr>
        <w:t>„</w:t>
      </w:r>
      <w:r w:rsidR="00787846">
        <w:rPr>
          <w:rFonts w:cs="Arial"/>
          <w:b/>
        </w:rPr>
        <w:t>I</w:t>
      </w:r>
      <w:r>
        <w:rPr>
          <w:rFonts w:cs="Arial"/>
          <w:b/>
        </w:rPr>
        <w:t>ZOÚ“</w:t>
      </w:r>
      <w:r>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r w:rsidR="003D16F5">
        <w:rPr>
          <w:rFonts w:cs="Arial"/>
        </w:rPr>
        <w:t xml:space="preserve"> V případě rozporu mezi VOP nebo IZOÚ a touto smlouvou se použije tato smlouva.</w:t>
      </w:r>
      <w:r w:rsidR="0047614D">
        <w:rPr>
          <w:rFonts w:cs="Arial"/>
        </w:rPr>
        <w:t xml:space="preserve"> </w:t>
      </w:r>
    </w:p>
    <w:p w14:paraId="117231F8" w14:textId="77777777" w:rsidR="007B2A46" w:rsidRDefault="007B2A46" w:rsidP="007B2A46">
      <w:pPr>
        <w:pStyle w:val="ListParagraph"/>
        <w:spacing w:before="100" w:beforeAutospacing="1" w:after="100" w:afterAutospacing="1" w:line="240" w:lineRule="auto"/>
        <w:ind w:left="851" w:right="260" w:hanging="567"/>
        <w:jc w:val="both"/>
        <w:rPr>
          <w:rFonts w:cs="Arial"/>
        </w:rPr>
      </w:pPr>
      <w:r>
        <w:rPr>
          <w:rFonts w:cs="Arial"/>
        </w:rPr>
        <w:t xml:space="preserve"> </w:t>
      </w:r>
    </w:p>
    <w:p w14:paraId="64F3B8E1" w14:textId="77777777" w:rsidR="007B2A46" w:rsidRDefault="007B2A46" w:rsidP="007B2A46">
      <w:pPr>
        <w:pStyle w:val="ListParagraph"/>
        <w:numPr>
          <w:ilvl w:val="0"/>
          <w:numId w:val="11"/>
        </w:numPr>
        <w:spacing w:before="240" w:after="100" w:afterAutospacing="1" w:line="240" w:lineRule="auto"/>
        <w:ind w:left="709" w:right="260" w:hanging="425"/>
        <w:jc w:val="both"/>
        <w:rPr>
          <w:rFonts w:cs="Arial"/>
          <w:b/>
        </w:rPr>
      </w:pPr>
      <w:r>
        <w:rPr>
          <w:rFonts w:cs="Arial"/>
          <w:b/>
        </w:rPr>
        <w:t>Předmět smlouvy</w:t>
      </w:r>
    </w:p>
    <w:p w14:paraId="75087C02" w14:textId="77777777" w:rsidR="007B2A46" w:rsidRDefault="007B2A46" w:rsidP="007B2A46">
      <w:pPr>
        <w:pStyle w:val="ListParagraph"/>
        <w:numPr>
          <w:ilvl w:val="1"/>
          <w:numId w:val="11"/>
        </w:numPr>
        <w:spacing w:before="100" w:beforeAutospacing="1" w:after="100" w:afterAutospacing="1" w:line="240" w:lineRule="auto"/>
        <w:ind w:left="709" w:right="260" w:hanging="425"/>
        <w:jc w:val="both"/>
        <w:rPr>
          <w:rFonts w:cs="Arial"/>
        </w:rPr>
      </w:pPr>
      <w:r>
        <w:rPr>
          <w:rFonts w:cs="Arial"/>
        </w:rPr>
        <w:t xml:space="preserve">Poskytovatel poskytuje uživateli právo na přístup do Beck-online a právo Beck-online užívat (dále jen </w:t>
      </w:r>
      <w:r>
        <w:rPr>
          <w:rFonts w:cs="Arial"/>
          <w:b/>
        </w:rPr>
        <w:t>„licence“</w:t>
      </w:r>
      <w:r>
        <w:rPr>
          <w:rFonts w:cs="Arial"/>
        </w:rPr>
        <w:t>) a uživatel se zavazuje za užívání Beck-online platit poskytovateli odměnu stanovenou v Příloze, která je nedílnou součástí této smlouvy.</w:t>
      </w:r>
    </w:p>
    <w:p w14:paraId="618A449F" w14:textId="77777777" w:rsidR="007B2A46" w:rsidRDefault="007B2A46" w:rsidP="007B2A46">
      <w:pPr>
        <w:pStyle w:val="ListParagraph"/>
        <w:numPr>
          <w:ilvl w:val="1"/>
          <w:numId w:val="11"/>
        </w:numPr>
        <w:spacing w:before="80" w:after="0" w:line="240" w:lineRule="auto"/>
        <w:ind w:left="709" w:right="260" w:hanging="425"/>
        <w:jc w:val="both"/>
        <w:rPr>
          <w:rFonts w:cs="Arial"/>
        </w:rPr>
      </w:pPr>
      <w:r>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Pr>
          <w:rFonts w:cs="Arial"/>
          <w:b/>
        </w:rPr>
        <w:t>„uživatelský účet“</w:t>
      </w:r>
      <w:r>
        <w:rPr>
          <w:rFonts w:cs="Arial"/>
        </w:rPr>
        <w:t xml:space="preserve">). </w:t>
      </w:r>
    </w:p>
    <w:p w14:paraId="1077772F" w14:textId="58B3F9AA" w:rsidR="007B2A46" w:rsidRDefault="007B2A46" w:rsidP="007B2A46">
      <w:pPr>
        <w:pStyle w:val="ListParagraph"/>
        <w:numPr>
          <w:ilvl w:val="1"/>
          <w:numId w:val="11"/>
        </w:numPr>
        <w:spacing w:before="80" w:after="0" w:line="240" w:lineRule="auto"/>
        <w:ind w:left="709" w:right="260" w:hanging="425"/>
        <w:jc w:val="both"/>
        <w:rPr>
          <w:rFonts w:cs="Arial"/>
        </w:rPr>
      </w:pPr>
      <w:r>
        <w:rPr>
          <w:rFonts w:cs="Arial"/>
        </w:rPr>
        <w:t>Poskytovatel se zavazuje zřídit uživateli uživatelský účet nejpozději k prvnímu dni prvního období</w:t>
      </w:r>
      <w:r w:rsidR="00DB24AA">
        <w:rPr>
          <w:rFonts w:cs="Arial"/>
        </w:rPr>
        <w:t xml:space="preserve"> (jak je tento pojem definován v Příloze)</w:t>
      </w:r>
      <w:r>
        <w:rPr>
          <w:rFonts w:cs="Arial"/>
        </w:rPr>
        <w:t>, avšak nikoli dříve, než mu byla uhrazena v plné výši odměna za první období.</w:t>
      </w:r>
    </w:p>
    <w:p w14:paraId="5223FD5F" w14:textId="77777777" w:rsidR="007B2A46" w:rsidRDefault="007B2A46" w:rsidP="007B2A46">
      <w:pPr>
        <w:pStyle w:val="ListParagraph"/>
        <w:numPr>
          <w:ilvl w:val="1"/>
          <w:numId w:val="11"/>
        </w:numPr>
        <w:spacing w:before="80" w:after="0" w:line="240" w:lineRule="auto"/>
        <w:ind w:left="709" w:right="260" w:hanging="425"/>
        <w:jc w:val="both"/>
        <w:rPr>
          <w:rFonts w:cs="Arial"/>
        </w:rPr>
      </w:pPr>
      <w:r>
        <w:rPr>
          <w:rFonts w:cs="Arial"/>
        </w:rPr>
        <w:t>Rozsah licence specifikuje Příloha, přičemž další podmínky užívání licence jsou upraveny ve VOP.</w:t>
      </w:r>
    </w:p>
    <w:p w14:paraId="49BC014C" w14:textId="77777777" w:rsidR="00287C53" w:rsidRDefault="00287C53" w:rsidP="00287C53">
      <w:pPr>
        <w:pStyle w:val="ListParagraph"/>
        <w:spacing w:before="80" w:after="0" w:line="240" w:lineRule="auto"/>
        <w:ind w:left="709" w:right="260"/>
        <w:jc w:val="both"/>
        <w:rPr>
          <w:rFonts w:cs="Arial"/>
        </w:rPr>
      </w:pPr>
    </w:p>
    <w:p w14:paraId="4C8AAE01" w14:textId="77777777" w:rsidR="007B2A46" w:rsidRDefault="007B2A46" w:rsidP="007B2A46">
      <w:pPr>
        <w:pStyle w:val="ListParagraph"/>
        <w:numPr>
          <w:ilvl w:val="0"/>
          <w:numId w:val="11"/>
        </w:numPr>
        <w:spacing w:before="240" w:after="100" w:afterAutospacing="1" w:line="240" w:lineRule="auto"/>
        <w:ind w:left="709" w:right="260" w:hanging="425"/>
        <w:jc w:val="both"/>
        <w:rPr>
          <w:rFonts w:cs="Arial"/>
          <w:b/>
        </w:rPr>
      </w:pPr>
      <w:r>
        <w:rPr>
          <w:rFonts w:cs="Arial"/>
          <w:b/>
        </w:rPr>
        <w:t>Platební podmínky</w:t>
      </w:r>
    </w:p>
    <w:p w14:paraId="7F423DB1" w14:textId="77777777" w:rsidR="007B2A46" w:rsidRDefault="007B2A46" w:rsidP="007B2A46">
      <w:pPr>
        <w:pStyle w:val="ListParagraph"/>
        <w:numPr>
          <w:ilvl w:val="1"/>
          <w:numId w:val="11"/>
        </w:numPr>
        <w:spacing w:after="0" w:line="240" w:lineRule="auto"/>
        <w:ind w:left="709" w:right="260" w:hanging="425"/>
        <w:jc w:val="both"/>
        <w:rPr>
          <w:rFonts w:cs="Arial"/>
        </w:rPr>
      </w:pPr>
      <w:r>
        <w:rPr>
          <w:rFonts w:cs="Arial"/>
        </w:rPr>
        <w:t xml:space="preserve">Za užívání Beck-online se uživatel zavazuje platit poskytovateli odměnu, jejíž výše se odvíjí od rozsahu licence uvedeného v Příloze (dále jen </w:t>
      </w:r>
      <w:r>
        <w:rPr>
          <w:rFonts w:cs="Arial"/>
          <w:b/>
        </w:rPr>
        <w:t>„odměna“</w:t>
      </w:r>
      <w:r>
        <w:rPr>
          <w:rFonts w:cs="Arial"/>
        </w:rPr>
        <w:t>).</w:t>
      </w:r>
    </w:p>
    <w:p w14:paraId="2B45ADA2" w14:textId="7CD33BC4" w:rsidR="007B2A46" w:rsidRDefault="007B2A46" w:rsidP="007B2A46">
      <w:pPr>
        <w:pStyle w:val="ListParagraph"/>
        <w:numPr>
          <w:ilvl w:val="1"/>
          <w:numId w:val="11"/>
        </w:numPr>
        <w:spacing w:before="80" w:after="0" w:line="240" w:lineRule="auto"/>
        <w:ind w:left="709" w:right="260" w:hanging="425"/>
        <w:jc w:val="both"/>
        <w:rPr>
          <w:rFonts w:cs="Arial"/>
        </w:rPr>
      </w:pPr>
      <w:r>
        <w:rPr>
          <w:rFonts w:cs="Arial"/>
        </w:rPr>
        <w:t>Fakturu na jednotlivá období je poskytovatel oprávněn vystavit nejdříve dva měsíce před začátkem daného období</w:t>
      </w:r>
      <w:r w:rsidR="00306653">
        <w:rPr>
          <w:rFonts w:cs="Arial"/>
        </w:rPr>
        <w:t xml:space="preserve"> a nejpozději 14 dní před začátkem daného období</w:t>
      </w:r>
      <w:r>
        <w:rPr>
          <w:rFonts w:cs="Arial"/>
        </w:rPr>
        <w:t xml:space="preserve">. Elektronická faktura bude zasílána na email: </w:t>
      </w:r>
      <w:r w:rsidR="00EB1535">
        <w:rPr>
          <w:rFonts w:cs="Arial"/>
        </w:rPr>
        <w:t xml:space="preserve">faktury@techlib.cz. </w:t>
      </w:r>
      <w:r>
        <w:rPr>
          <w:rFonts w:cs="Arial"/>
        </w:rPr>
        <w:t xml:space="preserve">O případné změně emailové adresy je uživatel povinen poskytovatele bezodkladně písemnou formou informovat. </w:t>
      </w:r>
    </w:p>
    <w:p w14:paraId="2B22DCEB" w14:textId="5A393811" w:rsidR="007B2A46" w:rsidRDefault="007B2A46" w:rsidP="007B2A46">
      <w:pPr>
        <w:pStyle w:val="ListParagraph"/>
        <w:numPr>
          <w:ilvl w:val="1"/>
          <w:numId w:val="11"/>
        </w:numPr>
        <w:spacing w:before="80" w:after="0" w:line="240" w:lineRule="auto"/>
        <w:ind w:left="709" w:right="260" w:hanging="425"/>
        <w:jc w:val="both"/>
        <w:rPr>
          <w:rFonts w:cs="Arial"/>
        </w:rPr>
      </w:pPr>
      <w:r>
        <w:rPr>
          <w:rFonts w:cs="Arial"/>
        </w:rPr>
        <w:t xml:space="preserve">Faktura je splatná do </w:t>
      </w:r>
      <w:bookmarkStart w:id="7" w:name="splatnost"/>
      <w:bookmarkEnd w:id="7"/>
      <w:r w:rsidR="00007809">
        <w:rPr>
          <w:rFonts w:cs="Arial"/>
        </w:rPr>
        <w:t xml:space="preserve">30 </w:t>
      </w:r>
      <w:r>
        <w:rPr>
          <w:rFonts w:cs="Arial"/>
        </w:rPr>
        <w:t xml:space="preserve">dnů od jejího doručení uživateli. Při prodlení s úhradou faktury je poskytovatel oprávněn </w:t>
      </w:r>
      <w:r w:rsidR="00FA5ECC">
        <w:rPr>
          <w:rFonts w:cs="Arial"/>
        </w:rPr>
        <w:t xml:space="preserve">za podmínek dle VOP </w:t>
      </w:r>
      <w:r>
        <w:rPr>
          <w:rFonts w:cs="Arial"/>
        </w:rPr>
        <w:t xml:space="preserve">přístup k Beck-online přerušit až do vyrovnání pohledávky. Pozastavením </w:t>
      </w:r>
      <w:r>
        <w:rPr>
          <w:rFonts w:cs="Arial"/>
        </w:rPr>
        <w:lastRenderedPageBreak/>
        <w:t xml:space="preserve">přístupu do </w:t>
      </w:r>
      <w:r>
        <w:rPr>
          <w:rFonts w:cs="Arial"/>
        </w:rPr>
        <w:br/>
        <w:t xml:space="preserve">Beck-online však nezaniká právo </w:t>
      </w:r>
      <w:r w:rsidR="005C78D3">
        <w:rPr>
          <w:rFonts w:cs="Arial"/>
        </w:rPr>
        <w:t>p</w:t>
      </w:r>
      <w:r>
        <w:rPr>
          <w:rFonts w:cs="Arial"/>
        </w:rPr>
        <w:t xml:space="preserve">oskytovatele na úhradu </w:t>
      </w:r>
      <w:r w:rsidR="005C78D3">
        <w:rPr>
          <w:rFonts w:cs="Arial"/>
        </w:rPr>
        <w:t>o</w:t>
      </w:r>
      <w:r>
        <w:rPr>
          <w:rFonts w:cs="Arial"/>
        </w:rPr>
        <w:t>dměny i za dobu, během které nebyla tato služba poskytována.</w:t>
      </w:r>
    </w:p>
    <w:p w14:paraId="32C8C9FF" w14:textId="5C213057" w:rsidR="006533C9" w:rsidRPr="006533C9" w:rsidRDefault="006533C9" w:rsidP="007B2A46">
      <w:pPr>
        <w:pStyle w:val="ListParagraph"/>
        <w:numPr>
          <w:ilvl w:val="1"/>
          <w:numId w:val="11"/>
        </w:numPr>
        <w:spacing w:before="80" w:after="0" w:line="240" w:lineRule="auto"/>
        <w:ind w:left="709" w:right="260" w:hanging="425"/>
        <w:jc w:val="both"/>
        <w:rPr>
          <w:rFonts w:cs="Arial"/>
        </w:rPr>
      </w:pPr>
      <w:r>
        <w:rPr>
          <w:rFonts w:asciiTheme="minorHAnsi" w:eastAsia="Arial" w:hAnsiTheme="minorHAnsi" w:cstheme="minorHAnsi"/>
        </w:rPr>
        <w:t xml:space="preserve">Faktura </w:t>
      </w:r>
      <w:r w:rsidRPr="00BC2B57">
        <w:rPr>
          <w:rFonts w:asciiTheme="minorHAnsi" w:eastAsia="Arial" w:hAnsiTheme="minorHAnsi" w:cstheme="minorHAnsi"/>
        </w:rPr>
        <w:t>musí obsahovat údaje v souladu s § 29 zákon</w:t>
      </w:r>
      <w:r>
        <w:rPr>
          <w:rFonts w:asciiTheme="minorHAnsi" w:eastAsia="Arial" w:hAnsiTheme="minorHAnsi" w:cstheme="minorHAnsi"/>
        </w:rPr>
        <w:t>a</w:t>
      </w:r>
      <w:r w:rsidRPr="00BC2B57">
        <w:rPr>
          <w:rFonts w:asciiTheme="minorHAnsi" w:eastAsia="Arial" w:hAnsiTheme="minorHAnsi" w:cstheme="minorHAnsi"/>
        </w:rPr>
        <w:t xml:space="preserve"> č. 235/2004 Sb., o dani z přidané hodnoty, ve znění pozdějších předpisů </w:t>
      </w:r>
      <w:r>
        <w:rPr>
          <w:rFonts w:asciiTheme="minorHAnsi" w:eastAsia="Arial" w:hAnsiTheme="minorHAnsi" w:cstheme="minorHAnsi"/>
        </w:rPr>
        <w:t>(dále jen „</w:t>
      </w:r>
      <w:r>
        <w:rPr>
          <w:rFonts w:asciiTheme="minorHAnsi" w:eastAsia="Arial" w:hAnsiTheme="minorHAnsi" w:cstheme="minorHAnsi"/>
          <w:b/>
          <w:bCs/>
        </w:rPr>
        <w:t>z</w:t>
      </w:r>
      <w:r w:rsidRPr="00BC2B57">
        <w:rPr>
          <w:rFonts w:asciiTheme="minorHAnsi" w:eastAsia="Arial" w:hAnsiTheme="minorHAnsi" w:cstheme="minorHAnsi"/>
          <w:b/>
          <w:bCs/>
        </w:rPr>
        <w:t>ákon o DPH</w:t>
      </w:r>
      <w:r>
        <w:rPr>
          <w:rFonts w:asciiTheme="minorHAnsi" w:eastAsia="Arial" w:hAnsiTheme="minorHAnsi" w:cstheme="minorHAnsi"/>
        </w:rPr>
        <w:t>“)</w:t>
      </w:r>
      <w:r w:rsidRPr="00BC2B57">
        <w:rPr>
          <w:rFonts w:asciiTheme="minorHAnsi" w:eastAsia="Arial" w:hAnsiTheme="minorHAnsi" w:cstheme="minorHAnsi"/>
        </w:rPr>
        <w:t xml:space="preserve">, § 435 </w:t>
      </w:r>
      <w:r>
        <w:rPr>
          <w:rFonts w:asciiTheme="minorHAnsi" w:eastAsia="Arial" w:hAnsiTheme="minorHAnsi" w:cstheme="minorHAnsi"/>
        </w:rPr>
        <w:t xml:space="preserve">zákona </w:t>
      </w:r>
      <w:r w:rsidRPr="00AD0E13">
        <w:rPr>
          <w:rFonts w:asciiTheme="minorHAnsi" w:eastAsia="Arial" w:hAnsiTheme="minorHAnsi" w:cstheme="minorHAnsi"/>
        </w:rPr>
        <w:t xml:space="preserve">zákon č. 89/2012 Sb., občanský zákoník, ve znění pozdějších předpisů </w:t>
      </w:r>
      <w:r>
        <w:rPr>
          <w:rFonts w:asciiTheme="minorHAnsi" w:eastAsia="Arial" w:hAnsiTheme="minorHAnsi" w:cstheme="minorHAnsi"/>
        </w:rPr>
        <w:t>(dále jen „</w:t>
      </w:r>
      <w:r>
        <w:rPr>
          <w:rFonts w:asciiTheme="minorHAnsi" w:eastAsia="Arial" w:hAnsiTheme="minorHAnsi" w:cstheme="minorHAnsi"/>
          <w:b/>
          <w:bCs/>
        </w:rPr>
        <w:t>o</w:t>
      </w:r>
      <w:r w:rsidRPr="00AD0E13">
        <w:rPr>
          <w:rFonts w:asciiTheme="minorHAnsi" w:eastAsia="Arial" w:hAnsiTheme="minorHAnsi" w:cstheme="minorHAnsi"/>
          <w:b/>
          <w:bCs/>
        </w:rPr>
        <w:t>bčanský zákoník</w:t>
      </w:r>
      <w:r>
        <w:rPr>
          <w:rFonts w:asciiTheme="minorHAnsi" w:eastAsia="Arial" w:hAnsiTheme="minorHAnsi" w:cstheme="minorHAnsi"/>
        </w:rPr>
        <w:t xml:space="preserve">) </w:t>
      </w:r>
      <w:r w:rsidRPr="00BC2B57">
        <w:rPr>
          <w:rFonts w:asciiTheme="minorHAnsi" w:eastAsia="Arial" w:hAnsiTheme="minorHAnsi" w:cstheme="minorHAnsi"/>
        </w:rPr>
        <w:t>a další náležitosti stanovené obecně závaznými právními předpisy.</w:t>
      </w:r>
    </w:p>
    <w:p w14:paraId="508AE26F" w14:textId="4757F8D9" w:rsidR="006533C9" w:rsidRDefault="006533C9" w:rsidP="007E61F8">
      <w:pPr>
        <w:pStyle w:val="ListParagraph"/>
        <w:numPr>
          <w:ilvl w:val="1"/>
          <w:numId w:val="11"/>
        </w:numPr>
        <w:spacing w:before="80" w:after="0" w:line="240" w:lineRule="auto"/>
        <w:ind w:left="709" w:right="260" w:hanging="425"/>
        <w:jc w:val="both"/>
        <w:rPr>
          <w:rFonts w:asciiTheme="minorHAnsi" w:eastAsia="Arial" w:hAnsiTheme="minorHAnsi" w:cstheme="minorHAnsi"/>
        </w:rPr>
      </w:pPr>
      <w:bookmarkStart w:id="8" w:name="_Ref84325427"/>
      <w:r>
        <w:rPr>
          <w:rFonts w:asciiTheme="minorHAnsi" w:eastAsia="Arial" w:hAnsiTheme="minorHAnsi" w:cstheme="minorHAnsi"/>
        </w:rPr>
        <w:t>Uživatel</w:t>
      </w:r>
      <w:r w:rsidRPr="00CF006D">
        <w:rPr>
          <w:rFonts w:asciiTheme="minorHAnsi" w:eastAsia="Arial" w:hAnsiTheme="minorHAnsi" w:cstheme="minorHAnsi"/>
        </w:rPr>
        <w:t xml:space="preserve"> má po dobu splatnosti </w:t>
      </w:r>
      <w:r>
        <w:rPr>
          <w:rFonts w:asciiTheme="minorHAnsi" w:eastAsia="Arial" w:hAnsiTheme="minorHAnsi" w:cstheme="minorHAnsi"/>
        </w:rPr>
        <w:t>f</w:t>
      </w:r>
      <w:r w:rsidRPr="00CF006D">
        <w:rPr>
          <w:rFonts w:asciiTheme="minorHAnsi" w:eastAsia="Arial" w:hAnsiTheme="minorHAnsi" w:cstheme="minorHAnsi"/>
        </w:rPr>
        <w:t xml:space="preserve">aktury právo na posouzení toho, zda je </w:t>
      </w:r>
      <w:r>
        <w:rPr>
          <w:rFonts w:asciiTheme="minorHAnsi" w:eastAsia="Arial" w:hAnsiTheme="minorHAnsi" w:cstheme="minorHAnsi"/>
        </w:rPr>
        <w:t>f</w:t>
      </w:r>
      <w:r w:rsidRPr="00CF006D">
        <w:rPr>
          <w:rFonts w:asciiTheme="minorHAnsi" w:eastAsia="Arial" w:hAnsiTheme="minorHAnsi" w:cstheme="minorHAnsi"/>
        </w:rPr>
        <w:t xml:space="preserve">aktura bezchybně vystavena (splňuje podmínky </w:t>
      </w:r>
      <w:r>
        <w:rPr>
          <w:rFonts w:asciiTheme="minorHAnsi" w:eastAsia="Arial" w:hAnsiTheme="minorHAnsi" w:cstheme="minorHAnsi"/>
        </w:rPr>
        <w:t>této s</w:t>
      </w:r>
      <w:r w:rsidRPr="00CF006D">
        <w:rPr>
          <w:rFonts w:asciiTheme="minorHAnsi" w:eastAsia="Arial" w:hAnsiTheme="minorHAnsi" w:cstheme="minorHAnsi"/>
        </w:rPr>
        <w:t xml:space="preserve">mlouvy) a splňuje všechny náležitosti daňového dokladu ve smyslu platných a účinných právních předpisů České republiky, a na její vrácení, a to i opakovaně, pokud není bezchybně vystavena anebo nesplňuje všechny náležitosti daňového dokladu ve smyslu platných a účinných právních předpisů České republiky. Vrácením takové </w:t>
      </w:r>
      <w:r>
        <w:rPr>
          <w:rFonts w:asciiTheme="minorHAnsi" w:eastAsia="Arial" w:hAnsiTheme="minorHAnsi" w:cstheme="minorHAnsi"/>
        </w:rPr>
        <w:t>f</w:t>
      </w:r>
      <w:r w:rsidRPr="00CF006D">
        <w:rPr>
          <w:rFonts w:asciiTheme="minorHAnsi" w:eastAsia="Arial" w:hAnsiTheme="minorHAnsi" w:cstheme="minorHAnsi"/>
        </w:rPr>
        <w:t xml:space="preserve">aktury se doba splatnosti a doba pro posouzení bezchybnosti </w:t>
      </w:r>
      <w:r>
        <w:rPr>
          <w:rFonts w:asciiTheme="minorHAnsi" w:eastAsia="Arial" w:hAnsiTheme="minorHAnsi" w:cstheme="minorHAnsi"/>
        </w:rPr>
        <w:t>f</w:t>
      </w:r>
      <w:r w:rsidRPr="00CF006D">
        <w:rPr>
          <w:rFonts w:asciiTheme="minorHAnsi" w:eastAsia="Arial" w:hAnsiTheme="minorHAnsi" w:cstheme="minorHAnsi"/>
        </w:rPr>
        <w:t xml:space="preserve">aktury přerušuje a po dodání opravené </w:t>
      </w:r>
      <w:r>
        <w:rPr>
          <w:rFonts w:asciiTheme="minorHAnsi" w:eastAsia="Arial" w:hAnsiTheme="minorHAnsi" w:cstheme="minorHAnsi"/>
        </w:rPr>
        <w:t>f</w:t>
      </w:r>
      <w:r w:rsidRPr="00CF006D">
        <w:rPr>
          <w:rFonts w:asciiTheme="minorHAnsi" w:eastAsia="Arial" w:hAnsiTheme="minorHAnsi" w:cstheme="minorHAnsi"/>
        </w:rPr>
        <w:t>aktury začíná běžet doba nová.</w:t>
      </w:r>
      <w:bookmarkEnd w:id="8"/>
    </w:p>
    <w:p w14:paraId="7CC8116B" w14:textId="71CA4303" w:rsidR="007E61F8" w:rsidRDefault="006533C9" w:rsidP="007E61F8">
      <w:pPr>
        <w:pStyle w:val="ListParagraph"/>
        <w:numPr>
          <w:ilvl w:val="1"/>
          <w:numId w:val="11"/>
        </w:numPr>
        <w:spacing w:before="80" w:after="0" w:line="240" w:lineRule="auto"/>
        <w:ind w:left="709" w:right="260" w:hanging="425"/>
        <w:jc w:val="both"/>
        <w:rPr>
          <w:rFonts w:asciiTheme="minorHAnsi" w:eastAsia="Arial" w:hAnsiTheme="minorHAnsi" w:cstheme="minorHAnsi"/>
        </w:rPr>
      </w:pPr>
      <w:bookmarkStart w:id="9" w:name="_Ref84325440"/>
      <w:r w:rsidRPr="00CF006D">
        <w:rPr>
          <w:rFonts w:asciiTheme="minorHAnsi" w:eastAsia="Arial" w:hAnsiTheme="minorHAnsi" w:cstheme="minorHAnsi"/>
        </w:rPr>
        <w:t xml:space="preserve">Získá-li </w:t>
      </w:r>
      <w:r>
        <w:rPr>
          <w:rFonts w:asciiTheme="minorHAnsi" w:eastAsia="Arial" w:hAnsiTheme="minorHAnsi" w:cstheme="minorHAnsi"/>
        </w:rPr>
        <w:t>p</w:t>
      </w:r>
      <w:r w:rsidRPr="00CF006D">
        <w:rPr>
          <w:rFonts w:asciiTheme="minorHAnsi" w:eastAsia="Arial" w:hAnsiTheme="minorHAnsi" w:cstheme="minorHAnsi"/>
        </w:rPr>
        <w:t xml:space="preserve">oskytovatel rozhodnutím správce daně status nespolehlivého plátce v souladu s § 106a </w:t>
      </w:r>
      <w:r w:rsidR="008B1A35">
        <w:rPr>
          <w:rFonts w:asciiTheme="minorHAnsi" w:eastAsia="Arial" w:hAnsiTheme="minorHAnsi" w:cstheme="minorHAnsi"/>
        </w:rPr>
        <w:t>z</w:t>
      </w:r>
      <w:r w:rsidRPr="00CF006D">
        <w:rPr>
          <w:rFonts w:asciiTheme="minorHAnsi" w:eastAsia="Arial" w:hAnsiTheme="minorHAnsi" w:cstheme="minorHAnsi"/>
        </w:rPr>
        <w:t xml:space="preserve">ákona o DPH anebo se </w:t>
      </w:r>
      <w:r w:rsidR="008B1A35">
        <w:rPr>
          <w:rFonts w:asciiTheme="minorHAnsi" w:eastAsia="Arial" w:hAnsiTheme="minorHAnsi" w:cstheme="minorHAnsi"/>
        </w:rPr>
        <w:t>uživatel</w:t>
      </w:r>
      <w:r w:rsidRPr="00CF006D">
        <w:rPr>
          <w:rFonts w:asciiTheme="minorHAnsi" w:eastAsia="Arial" w:hAnsiTheme="minorHAnsi" w:cstheme="minorHAnsi"/>
        </w:rPr>
        <w:t xml:space="preserve"> dozví o jiných skutečnostech rozhodných pro zákonné ručení </w:t>
      </w:r>
      <w:r w:rsidR="008B1A35">
        <w:rPr>
          <w:rFonts w:asciiTheme="minorHAnsi" w:eastAsia="Arial" w:hAnsiTheme="minorHAnsi" w:cstheme="minorHAnsi"/>
        </w:rPr>
        <w:t>uživatele</w:t>
      </w:r>
      <w:r w:rsidRPr="00CF006D">
        <w:rPr>
          <w:rFonts w:asciiTheme="minorHAnsi" w:eastAsia="Arial" w:hAnsiTheme="minorHAnsi" w:cstheme="minorHAnsi"/>
        </w:rPr>
        <w:t xml:space="preserve"> za odvod daně z přidané hodnoty ve smyslu § 109 </w:t>
      </w:r>
      <w:r w:rsidR="008B1A35">
        <w:rPr>
          <w:rFonts w:asciiTheme="minorHAnsi" w:eastAsia="Arial" w:hAnsiTheme="minorHAnsi" w:cstheme="minorHAnsi"/>
        </w:rPr>
        <w:t>z</w:t>
      </w:r>
      <w:r w:rsidRPr="00CF006D">
        <w:rPr>
          <w:rFonts w:asciiTheme="minorHAnsi" w:eastAsia="Arial" w:hAnsiTheme="minorHAnsi" w:cstheme="minorHAnsi"/>
        </w:rPr>
        <w:t xml:space="preserve">ákona o DPH, </w:t>
      </w:r>
      <w:r w:rsidR="008B1A35">
        <w:rPr>
          <w:rFonts w:asciiTheme="minorHAnsi" w:eastAsia="Arial" w:hAnsiTheme="minorHAnsi" w:cstheme="minorHAnsi"/>
        </w:rPr>
        <w:t>uživatel</w:t>
      </w:r>
      <w:r w:rsidRPr="00CF006D">
        <w:rPr>
          <w:rFonts w:asciiTheme="minorHAnsi" w:eastAsia="Arial" w:hAnsiTheme="minorHAnsi" w:cstheme="minorHAnsi"/>
        </w:rPr>
        <w:t xml:space="preserve"> </w:t>
      </w:r>
      <w:r>
        <w:rPr>
          <w:rFonts w:asciiTheme="minorHAnsi" w:eastAsia="Arial" w:hAnsiTheme="minorHAnsi" w:cstheme="minorHAnsi"/>
        </w:rPr>
        <w:t xml:space="preserve">je oprávněn uhradit </w:t>
      </w:r>
      <w:r w:rsidRPr="00CF006D">
        <w:rPr>
          <w:rFonts w:asciiTheme="minorHAnsi" w:eastAsia="Arial" w:hAnsiTheme="minorHAnsi" w:cstheme="minorHAnsi"/>
        </w:rPr>
        <w:t xml:space="preserve">daň z přidané hodnoty ve smyslu § 109a </w:t>
      </w:r>
      <w:r w:rsidR="00A97152">
        <w:rPr>
          <w:rFonts w:asciiTheme="minorHAnsi" w:eastAsia="Arial" w:hAnsiTheme="minorHAnsi" w:cstheme="minorHAnsi"/>
        </w:rPr>
        <w:t>z</w:t>
      </w:r>
      <w:r w:rsidRPr="00CF006D">
        <w:rPr>
          <w:rFonts w:asciiTheme="minorHAnsi" w:eastAsia="Arial" w:hAnsiTheme="minorHAnsi" w:cstheme="minorHAnsi"/>
        </w:rPr>
        <w:t xml:space="preserve">ákona o DPH přímo příslušnému správci daně namísto </w:t>
      </w:r>
      <w:r w:rsidR="00A97152">
        <w:rPr>
          <w:rFonts w:asciiTheme="minorHAnsi" w:eastAsia="Arial" w:hAnsiTheme="minorHAnsi" w:cstheme="minorHAnsi"/>
        </w:rPr>
        <w:t>p</w:t>
      </w:r>
      <w:r w:rsidRPr="00CF006D">
        <w:rPr>
          <w:rFonts w:asciiTheme="minorHAnsi" w:eastAsia="Arial" w:hAnsiTheme="minorHAnsi" w:cstheme="minorHAnsi"/>
        </w:rPr>
        <w:t>oskytovatele a následně uhrad</w:t>
      </w:r>
      <w:r>
        <w:rPr>
          <w:rFonts w:asciiTheme="minorHAnsi" w:eastAsia="Arial" w:hAnsiTheme="minorHAnsi" w:cstheme="minorHAnsi"/>
        </w:rPr>
        <w:t>it</w:t>
      </w:r>
      <w:r w:rsidRPr="00CF006D">
        <w:rPr>
          <w:rFonts w:asciiTheme="minorHAnsi" w:eastAsia="Arial" w:hAnsiTheme="minorHAnsi" w:cstheme="minorHAnsi"/>
        </w:rPr>
        <w:t xml:space="preserve"> </w:t>
      </w:r>
      <w:r w:rsidR="00440395">
        <w:rPr>
          <w:rFonts w:asciiTheme="minorHAnsi" w:eastAsia="Arial" w:hAnsiTheme="minorHAnsi" w:cstheme="minorHAnsi"/>
        </w:rPr>
        <w:t>p</w:t>
      </w:r>
      <w:r w:rsidRPr="00CF006D">
        <w:rPr>
          <w:rFonts w:asciiTheme="minorHAnsi" w:eastAsia="Arial" w:hAnsiTheme="minorHAnsi" w:cstheme="minorHAnsi"/>
        </w:rPr>
        <w:t xml:space="preserve">oskytovateli </w:t>
      </w:r>
      <w:r>
        <w:rPr>
          <w:rFonts w:asciiTheme="minorHAnsi" w:eastAsia="Arial" w:hAnsiTheme="minorHAnsi" w:cstheme="minorHAnsi"/>
        </w:rPr>
        <w:t>odměnu</w:t>
      </w:r>
      <w:r w:rsidRPr="00CF006D">
        <w:rPr>
          <w:rFonts w:asciiTheme="minorHAnsi" w:eastAsia="Arial" w:hAnsiTheme="minorHAnsi" w:cstheme="minorHAnsi"/>
        </w:rPr>
        <w:t xml:space="preserve"> poníženou o takto zaplacenou daň, přičemž úhrada daně z přidané hodnoty se bude považovat za úhradu příslušné části </w:t>
      </w:r>
      <w:r>
        <w:rPr>
          <w:rFonts w:asciiTheme="minorHAnsi" w:eastAsia="Arial" w:hAnsiTheme="minorHAnsi" w:cstheme="minorHAnsi"/>
        </w:rPr>
        <w:t>odměny</w:t>
      </w:r>
      <w:r w:rsidRPr="00CF006D">
        <w:rPr>
          <w:rFonts w:asciiTheme="minorHAnsi" w:eastAsia="Arial" w:hAnsiTheme="minorHAnsi" w:cstheme="minorHAnsi"/>
        </w:rPr>
        <w:t xml:space="preserve"> </w:t>
      </w:r>
      <w:r w:rsidR="00440395">
        <w:rPr>
          <w:rFonts w:asciiTheme="minorHAnsi" w:eastAsia="Arial" w:hAnsiTheme="minorHAnsi" w:cstheme="minorHAnsi"/>
        </w:rPr>
        <w:t>p</w:t>
      </w:r>
      <w:r w:rsidRPr="00CF006D">
        <w:rPr>
          <w:rFonts w:asciiTheme="minorHAnsi" w:eastAsia="Arial" w:hAnsiTheme="minorHAnsi" w:cstheme="minorHAnsi"/>
        </w:rPr>
        <w:t xml:space="preserve">oskytovateli. Poskytovatel je povinen na </w:t>
      </w:r>
      <w:r>
        <w:rPr>
          <w:rFonts w:asciiTheme="minorHAnsi" w:eastAsia="Arial" w:hAnsiTheme="minorHAnsi" w:cstheme="minorHAnsi"/>
        </w:rPr>
        <w:t>f</w:t>
      </w:r>
      <w:r w:rsidRPr="00CF006D">
        <w:rPr>
          <w:rFonts w:asciiTheme="minorHAnsi" w:eastAsia="Arial" w:hAnsiTheme="minorHAnsi" w:cstheme="minorHAnsi"/>
        </w:rPr>
        <w:t xml:space="preserve">aktuře uvést účet zveřejněný správcem daně způsobem umožňujícím dálkový přístup ve smyslu § 109 odst. 2 písm. c) </w:t>
      </w:r>
      <w:r w:rsidR="007D7839">
        <w:rPr>
          <w:rFonts w:asciiTheme="minorHAnsi" w:eastAsia="Arial" w:hAnsiTheme="minorHAnsi" w:cstheme="minorHAnsi"/>
        </w:rPr>
        <w:t>z</w:t>
      </w:r>
      <w:r w:rsidRPr="00CF006D">
        <w:rPr>
          <w:rFonts w:asciiTheme="minorHAnsi" w:eastAsia="Arial" w:hAnsiTheme="minorHAnsi" w:cstheme="minorHAnsi"/>
        </w:rPr>
        <w:t xml:space="preserve">ákona o DPH. Je-li na </w:t>
      </w:r>
      <w:r>
        <w:rPr>
          <w:rFonts w:asciiTheme="minorHAnsi" w:eastAsia="Arial" w:hAnsiTheme="minorHAnsi" w:cstheme="minorHAnsi"/>
        </w:rPr>
        <w:t>f</w:t>
      </w:r>
      <w:r w:rsidRPr="00CF006D">
        <w:rPr>
          <w:rFonts w:asciiTheme="minorHAnsi" w:eastAsia="Arial" w:hAnsiTheme="minorHAnsi" w:cstheme="minorHAnsi"/>
        </w:rPr>
        <w:t xml:space="preserve">aktuře vystavené </w:t>
      </w:r>
      <w:r w:rsidR="007D7839">
        <w:rPr>
          <w:rFonts w:asciiTheme="minorHAnsi" w:eastAsia="Arial" w:hAnsiTheme="minorHAnsi" w:cstheme="minorHAnsi"/>
        </w:rPr>
        <w:t>p</w:t>
      </w:r>
      <w:r w:rsidRPr="00CF006D">
        <w:rPr>
          <w:rFonts w:asciiTheme="minorHAnsi" w:eastAsia="Arial" w:hAnsiTheme="minorHAnsi" w:cstheme="minorHAnsi"/>
        </w:rPr>
        <w:t xml:space="preserve">oskytovatelem uveden jiný účet, než je účet stanovený v předchozí větě, je </w:t>
      </w:r>
      <w:r w:rsidR="007D7839">
        <w:rPr>
          <w:rFonts w:asciiTheme="minorHAnsi" w:eastAsia="Arial" w:hAnsiTheme="minorHAnsi" w:cstheme="minorHAnsi"/>
        </w:rPr>
        <w:t>uživatel</w:t>
      </w:r>
      <w:r w:rsidRPr="00CF006D">
        <w:rPr>
          <w:rFonts w:asciiTheme="minorHAnsi" w:eastAsia="Arial" w:hAnsiTheme="minorHAnsi" w:cstheme="minorHAnsi"/>
        </w:rPr>
        <w:t xml:space="preserve"> oprávněn zaslat </w:t>
      </w:r>
      <w:r>
        <w:rPr>
          <w:rFonts w:asciiTheme="minorHAnsi" w:eastAsia="Arial" w:hAnsiTheme="minorHAnsi" w:cstheme="minorHAnsi"/>
        </w:rPr>
        <w:t>f</w:t>
      </w:r>
      <w:r w:rsidRPr="00CF006D">
        <w:rPr>
          <w:rFonts w:asciiTheme="minorHAnsi" w:eastAsia="Arial" w:hAnsiTheme="minorHAnsi" w:cstheme="minorHAnsi"/>
        </w:rPr>
        <w:t xml:space="preserve">akturu zpět </w:t>
      </w:r>
      <w:r w:rsidR="007D7839">
        <w:rPr>
          <w:rFonts w:asciiTheme="minorHAnsi" w:eastAsia="Arial" w:hAnsiTheme="minorHAnsi" w:cstheme="minorHAnsi"/>
        </w:rPr>
        <w:t>p</w:t>
      </w:r>
      <w:r w:rsidRPr="00CF006D">
        <w:rPr>
          <w:rFonts w:asciiTheme="minorHAnsi" w:eastAsia="Arial" w:hAnsiTheme="minorHAnsi" w:cstheme="minorHAnsi"/>
        </w:rPr>
        <w:t xml:space="preserve">oskytovateli k opravě, kdy čl. </w:t>
      </w:r>
      <w:r>
        <w:rPr>
          <w:rFonts w:asciiTheme="minorHAnsi" w:eastAsia="Arial" w:hAnsiTheme="minorHAnsi" w:cstheme="minorHAnsi"/>
        </w:rPr>
        <w:fldChar w:fldCharType="begin"/>
      </w:r>
      <w:r>
        <w:rPr>
          <w:rFonts w:asciiTheme="minorHAnsi" w:eastAsia="Arial" w:hAnsiTheme="minorHAnsi" w:cstheme="minorHAnsi"/>
        </w:rPr>
        <w:instrText xml:space="preserve"> REF _Ref84325427 \r \h </w:instrText>
      </w:r>
      <w:r w:rsidR="007E61F8">
        <w:rPr>
          <w:rFonts w:asciiTheme="minorHAnsi" w:eastAsia="Arial" w:hAnsiTheme="minorHAnsi" w:cstheme="minorHAnsi"/>
        </w:rPr>
        <w:instrText xml:space="preserve"> \* MERGEFORMAT </w:instrText>
      </w:r>
      <w:r>
        <w:rPr>
          <w:rFonts w:asciiTheme="minorHAnsi" w:eastAsia="Arial" w:hAnsiTheme="minorHAnsi" w:cstheme="minorHAnsi"/>
        </w:rPr>
      </w:r>
      <w:r>
        <w:rPr>
          <w:rFonts w:asciiTheme="minorHAnsi" w:eastAsia="Arial" w:hAnsiTheme="minorHAnsi" w:cstheme="minorHAnsi"/>
        </w:rPr>
        <w:fldChar w:fldCharType="separate"/>
      </w:r>
      <w:r w:rsidR="007D7839">
        <w:rPr>
          <w:rFonts w:asciiTheme="minorHAnsi" w:eastAsia="Arial" w:hAnsiTheme="minorHAnsi" w:cstheme="minorHAnsi"/>
        </w:rPr>
        <w:t>3.5</w:t>
      </w:r>
      <w:r>
        <w:rPr>
          <w:rFonts w:asciiTheme="minorHAnsi" w:eastAsia="Arial" w:hAnsiTheme="minorHAnsi" w:cstheme="minorHAnsi"/>
        </w:rPr>
        <w:fldChar w:fldCharType="end"/>
      </w:r>
      <w:r>
        <w:rPr>
          <w:rFonts w:asciiTheme="minorHAnsi" w:eastAsia="Arial" w:hAnsiTheme="minorHAnsi" w:cstheme="minorHAnsi"/>
        </w:rPr>
        <w:t xml:space="preserve"> </w:t>
      </w:r>
      <w:r w:rsidRPr="00CF006D">
        <w:rPr>
          <w:rFonts w:asciiTheme="minorHAnsi" w:eastAsia="Arial" w:hAnsiTheme="minorHAnsi" w:cstheme="minorHAnsi"/>
        </w:rPr>
        <w:t xml:space="preserve">se užije obdobně. Poskytovatel prohlašuje, že je majitelem a beneficientem účtu uvedeného </w:t>
      </w:r>
      <w:r w:rsidR="007D7839">
        <w:rPr>
          <w:rFonts w:asciiTheme="minorHAnsi" w:eastAsia="Arial" w:hAnsiTheme="minorHAnsi" w:cstheme="minorHAnsi"/>
        </w:rPr>
        <w:t>uživateli</w:t>
      </w:r>
      <w:r w:rsidRPr="00CF006D">
        <w:rPr>
          <w:rFonts w:asciiTheme="minorHAnsi" w:eastAsia="Arial" w:hAnsiTheme="minorHAnsi" w:cstheme="minorHAnsi"/>
        </w:rPr>
        <w:t xml:space="preserve"> dle tohoto čl. </w:t>
      </w:r>
      <w:r>
        <w:rPr>
          <w:rFonts w:asciiTheme="minorHAnsi" w:eastAsia="Arial" w:hAnsiTheme="minorHAnsi" w:cstheme="minorHAnsi"/>
        </w:rPr>
        <w:fldChar w:fldCharType="begin"/>
      </w:r>
      <w:r>
        <w:rPr>
          <w:rFonts w:asciiTheme="minorHAnsi" w:eastAsia="Arial" w:hAnsiTheme="minorHAnsi" w:cstheme="minorHAnsi"/>
        </w:rPr>
        <w:instrText xml:space="preserve"> REF _Ref84325440 \r \h </w:instrText>
      </w:r>
      <w:r w:rsidR="007E61F8">
        <w:rPr>
          <w:rFonts w:asciiTheme="minorHAnsi" w:eastAsia="Arial" w:hAnsiTheme="minorHAnsi" w:cstheme="minorHAnsi"/>
        </w:rPr>
        <w:instrText xml:space="preserve"> \* MERGEFORMAT </w:instrText>
      </w:r>
      <w:r>
        <w:rPr>
          <w:rFonts w:asciiTheme="minorHAnsi" w:eastAsia="Arial" w:hAnsiTheme="minorHAnsi" w:cstheme="minorHAnsi"/>
        </w:rPr>
      </w:r>
      <w:r>
        <w:rPr>
          <w:rFonts w:asciiTheme="minorHAnsi" w:eastAsia="Arial" w:hAnsiTheme="minorHAnsi" w:cstheme="minorHAnsi"/>
        </w:rPr>
        <w:fldChar w:fldCharType="separate"/>
      </w:r>
      <w:r w:rsidR="007D7839">
        <w:rPr>
          <w:rFonts w:asciiTheme="minorHAnsi" w:eastAsia="Arial" w:hAnsiTheme="minorHAnsi" w:cstheme="minorHAnsi"/>
        </w:rPr>
        <w:t>3.6</w:t>
      </w:r>
      <w:r>
        <w:rPr>
          <w:rFonts w:asciiTheme="minorHAnsi" w:eastAsia="Arial" w:hAnsiTheme="minorHAnsi" w:cstheme="minorHAnsi"/>
        </w:rPr>
        <w:fldChar w:fldCharType="end"/>
      </w:r>
      <w:r>
        <w:rPr>
          <w:rFonts w:asciiTheme="minorHAnsi" w:eastAsia="Arial" w:hAnsiTheme="minorHAnsi" w:cstheme="minorHAnsi"/>
        </w:rPr>
        <w:t xml:space="preserve"> </w:t>
      </w:r>
      <w:r w:rsidRPr="00CF006D">
        <w:rPr>
          <w:rFonts w:asciiTheme="minorHAnsi" w:eastAsia="Arial" w:hAnsiTheme="minorHAnsi" w:cstheme="minorHAnsi"/>
        </w:rPr>
        <w:t xml:space="preserve">, a to na základě smlouvy uzavřené s bankou se sídlem v České republice, jejíž je </w:t>
      </w:r>
      <w:r w:rsidR="007E61F8">
        <w:rPr>
          <w:rFonts w:asciiTheme="minorHAnsi" w:eastAsia="Arial" w:hAnsiTheme="minorHAnsi" w:cstheme="minorHAnsi"/>
        </w:rPr>
        <w:t>p</w:t>
      </w:r>
      <w:r w:rsidRPr="00CF006D">
        <w:rPr>
          <w:rFonts w:asciiTheme="minorHAnsi" w:eastAsia="Arial" w:hAnsiTheme="minorHAnsi" w:cstheme="minorHAnsi"/>
        </w:rPr>
        <w:t>oskytovatel účastníkem jako majitel účtu.</w:t>
      </w:r>
      <w:bookmarkEnd w:id="9"/>
    </w:p>
    <w:p w14:paraId="00485B9E" w14:textId="1B0F3D55" w:rsidR="006533C9" w:rsidRPr="007E61F8" w:rsidRDefault="007E61F8" w:rsidP="007E61F8">
      <w:pPr>
        <w:pStyle w:val="ListParagraph"/>
        <w:numPr>
          <w:ilvl w:val="1"/>
          <w:numId w:val="11"/>
        </w:numPr>
        <w:spacing w:before="80" w:after="0" w:line="240" w:lineRule="auto"/>
        <w:ind w:left="709" w:right="260" w:hanging="425"/>
        <w:jc w:val="both"/>
        <w:rPr>
          <w:rFonts w:asciiTheme="minorHAnsi" w:eastAsia="Arial" w:hAnsiTheme="minorHAnsi" w:cstheme="minorHAnsi"/>
        </w:rPr>
      </w:pPr>
      <w:r w:rsidRPr="007E61F8">
        <w:rPr>
          <w:rFonts w:asciiTheme="minorHAnsi" w:eastAsia="Arial" w:hAnsiTheme="minorHAnsi" w:cstheme="minorHAnsi"/>
        </w:rPr>
        <w:t xml:space="preserve">Odměna je stanovena jako maximální možná a nepřekročitelná částka a zahrnuje veškeré činnosti vztahující se k plnění dle </w:t>
      </w:r>
      <w:r>
        <w:rPr>
          <w:rFonts w:asciiTheme="minorHAnsi" w:eastAsia="Arial" w:hAnsiTheme="minorHAnsi" w:cstheme="minorHAnsi"/>
        </w:rPr>
        <w:t>této s</w:t>
      </w:r>
      <w:r w:rsidRPr="007E61F8">
        <w:rPr>
          <w:rFonts w:asciiTheme="minorHAnsi" w:eastAsia="Arial" w:hAnsiTheme="minorHAnsi" w:cstheme="minorHAnsi"/>
        </w:rPr>
        <w:t>mlouvy</w:t>
      </w:r>
      <w:r>
        <w:rPr>
          <w:rFonts w:asciiTheme="minorHAnsi" w:eastAsia="Arial" w:hAnsiTheme="minorHAnsi" w:cstheme="minorHAnsi"/>
        </w:rPr>
        <w:t xml:space="preserve"> (s výjimkou školení)</w:t>
      </w:r>
      <w:r w:rsidRPr="007E61F8">
        <w:rPr>
          <w:rFonts w:asciiTheme="minorHAnsi" w:eastAsia="Arial" w:hAnsiTheme="minorHAnsi" w:cstheme="minorHAnsi"/>
        </w:rPr>
        <w:t xml:space="preserve">, odměnu za poskytnutí </w:t>
      </w:r>
      <w:r>
        <w:rPr>
          <w:rFonts w:asciiTheme="minorHAnsi" w:eastAsia="Arial" w:hAnsiTheme="minorHAnsi" w:cstheme="minorHAnsi"/>
        </w:rPr>
        <w:t>l</w:t>
      </w:r>
      <w:r w:rsidRPr="007E61F8">
        <w:rPr>
          <w:rFonts w:asciiTheme="minorHAnsi" w:eastAsia="Arial" w:hAnsiTheme="minorHAnsi" w:cstheme="minorHAnsi"/>
        </w:rPr>
        <w:t xml:space="preserve">icence, jakož i výdaje a náklady, které </w:t>
      </w:r>
      <w:r w:rsidR="00742211">
        <w:rPr>
          <w:rFonts w:asciiTheme="minorHAnsi" w:eastAsia="Arial" w:hAnsiTheme="minorHAnsi" w:cstheme="minorHAnsi"/>
        </w:rPr>
        <w:t>p</w:t>
      </w:r>
      <w:r w:rsidRPr="007E61F8">
        <w:rPr>
          <w:rFonts w:asciiTheme="minorHAnsi" w:eastAsia="Arial" w:hAnsiTheme="minorHAnsi" w:cstheme="minorHAnsi"/>
        </w:rPr>
        <w:t xml:space="preserve">oskytovateli v souvislosti s plněním </w:t>
      </w:r>
      <w:r w:rsidR="00742211">
        <w:rPr>
          <w:rFonts w:asciiTheme="minorHAnsi" w:eastAsia="Arial" w:hAnsiTheme="minorHAnsi" w:cstheme="minorHAnsi"/>
        </w:rPr>
        <w:t>této s</w:t>
      </w:r>
      <w:r w:rsidRPr="007E61F8">
        <w:rPr>
          <w:rFonts w:asciiTheme="minorHAnsi" w:eastAsia="Arial" w:hAnsiTheme="minorHAnsi" w:cstheme="minorHAnsi"/>
        </w:rPr>
        <w:t>mlouvy vzniknou či mohou vzniknout.</w:t>
      </w:r>
    </w:p>
    <w:p w14:paraId="7381FEA2" w14:textId="77777777" w:rsidR="00544623" w:rsidRDefault="00544623" w:rsidP="00544623">
      <w:pPr>
        <w:pStyle w:val="ListParagraph"/>
        <w:spacing w:before="80" w:after="0" w:line="240" w:lineRule="auto"/>
        <w:ind w:left="709" w:right="260"/>
        <w:jc w:val="both"/>
        <w:rPr>
          <w:rFonts w:cs="Arial"/>
        </w:rPr>
      </w:pPr>
    </w:p>
    <w:p w14:paraId="5D126FD5" w14:textId="77777777" w:rsidR="00544623" w:rsidRDefault="00544623" w:rsidP="00544623">
      <w:pPr>
        <w:pStyle w:val="ListParagraph"/>
        <w:spacing w:before="80" w:after="0" w:line="240" w:lineRule="auto"/>
        <w:ind w:left="709" w:right="260"/>
        <w:jc w:val="both"/>
        <w:rPr>
          <w:rFonts w:cs="Arial"/>
        </w:rPr>
      </w:pPr>
    </w:p>
    <w:p w14:paraId="27591646" w14:textId="77777777" w:rsidR="007B2A46" w:rsidRDefault="007B2A46" w:rsidP="007B2A46">
      <w:pPr>
        <w:pStyle w:val="ListParagraph"/>
        <w:numPr>
          <w:ilvl w:val="0"/>
          <w:numId w:val="11"/>
        </w:numPr>
        <w:spacing w:before="240" w:after="100" w:afterAutospacing="1" w:line="240" w:lineRule="auto"/>
        <w:ind w:left="709" w:right="260" w:hanging="425"/>
        <w:jc w:val="both"/>
        <w:rPr>
          <w:rFonts w:cs="Arial"/>
          <w:b/>
        </w:rPr>
      </w:pPr>
      <w:r>
        <w:rPr>
          <w:rFonts w:cs="Arial"/>
          <w:b/>
        </w:rPr>
        <w:t>Doba trvání smlouvy</w:t>
      </w:r>
    </w:p>
    <w:p w14:paraId="1FB83161" w14:textId="6C47926F" w:rsidR="007B2A46" w:rsidRDefault="007B2A46" w:rsidP="007B2A46">
      <w:pPr>
        <w:pStyle w:val="ListParagraph"/>
        <w:numPr>
          <w:ilvl w:val="1"/>
          <w:numId w:val="11"/>
        </w:numPr>
        <w:spacing w:after="0" w:line="240" w:lineRule="auto"/>
        <w:ind w:left="709" w:right="260" w:hanging="425"/>
        <w:jc w:val="both"/>
        <w:rPr>
          <w:rFonts w:cs="Arial"/>
        </w:rPr>
      </w:pPr>
      <w:r>
        <w:rPr>
          <w:rFonts w:cs="Arial"/>
        </w:rPr>
        <w:t>Tato smlouva nabývá platnosti dnem jejího podpisu oběma smluvními stranami</w:t>
      </w:r>
      <w:r w:rsidR="003F374E">
        <w:rPr>
          <w:rFonts w:cs="Arial"/>
        </w:rPr>
        <w:t xml:space="preserve"> a účinnosti </w:t>
      </w:r>
      <w:r w:rsidR="003F374E" w:rsidRPr="00E24626">
        <w:rPr>
          <w:rFonts w:asciiTheme="minorHAnsi" w:eastAsia="Arial" w:hAnsiTheme="minorHAnsi" w:cstheme="minorHAnsi"/>
        </w:rPr>
        <w:t xml:space="preserve">uveřejněním v registru smluv </w:t>
      </w:r>
      <w:r w:rsidR="003F374E" w:rsidRPr="009F1897">
        <w:rPr>
          <w:rFonts w:asciiTheme="minorHAnsi" w:eastAsia="Arial" w:hAnsiTheme="minorHAnsi" w:cstheme="minorHAnsi"/>
        </w:rPr>
        <w:t>dle zákona č. 340/2015 Sb., o registru smluv, ve znění pozdějších předpisů</w:t>
      </w:r>
      <w:r w:rsidR="003F374E" w:rsidRPr="00E24626">
        <w:rPr>
          <w:rFonts w:asciiTheme="minorHAnsi" w:eastAsia="Arial" w:hAnsiTheme="minorHAnsi" w:cstheme="minorHAnsi"/>
        </w:rPr>
        <w:t xml:space="preserve">. Smluvní strany výslovně sjednávají, že uveřejnění této </w:t>
      </w:r>
      <w:r w:rsidR="003F374E">
        <w:rPr>
          <w:rFonts w:asciiTheme="minorHAnsi" w:eastAsia="Arial" w:hAnsiTheme="minorHAnsi" w:cstheme="minorHAnsi"/>
        </w:rPr>
        <w:t>s</w:t>
      </w:r>
      <w:r w:rsidR="003F374E" w:rsidRPr="00E24626">
        <w:rPr>
          <w:rFonts w:asciiTheme="minorHAnsi" w:eastAsia="Arial" w:hAnsiTheme="minorHAnsi" w:cstheme="minorHAnsi"/>
        </w:rPr>
        <w:t xml:space="preserve">mlouvy v registru smluv zajistí </w:t>
      </w:r>
      <w:r w:rsidR="003F374E">
        <w:rPr>
          <w:rFonts w:asciiTheme="minorHAnsi" w:eastAsia="Arial" w:hAnsiTheme="minorHAnsi" w:cstheme="minorHAnsi"/>
        </w:rPr>
        <w:t>uživatel</w:t>
      </w:r>
      <w:r>
        <w:rPr>
          <w:rFonts w:cs="Arial"/>
        </w:rPr>
        <w:t>.</w:t>
      </w:r>
    </w:p>
    <w:p w14:paraId="784B27AF" w14:textId="72A57658" w:rsidR="007B2A46" w:rsidRDefault="007B2A46" w:rsidP="007B2A46">
      <w:pPr>
        <w:pStyle w:val="ListParagraph"/>
        <w:numPr>
          <w:ilvl w:val="1"/>
          <w:numId w:val="11"/>
        </w:numPr>
        <w:spacing w:before="80" w:after="0" w:line="240" w:lineRule="auto"/>
        <w:ind w:left="709" w:right="260" w:hanging="425"/>
        <w:jc w:val="both"/>
        <w:rPr>
          <w:rFonts w:cs="Arial"/>
        </w:rPr>
      </w:pPr>
      <w:r>
        <w:rPr>
          <w:rFonts w:cs="Arial"/>
        </w:rPr>
        <w:t>Smlouva se uzavírá na dobu</w:t>
      </w:r>
      <w:r>
        <w:rPr>
          <w:rFonts w:cs="Arial"/>
          <w:b/>
        </w:rPr>
        <w:t xml:space="preserve"> </w:t>
      </w:r>
      <w:bookmarkStart w:id="10" w:name="doba_trvani"/>
      <w:bookmarkEnd w:id="10"/>
      <w:r w:rsidR="009730C1">
        <w:rPr>
          <w:rFonts w:cs="Arial"/>
          <w:b/>
        </w:rPr>
        <w:t>určitou, a to do 3</w:t>
      </w:r>
      <w:r w:rsidR="00C434C4">
        <w:rPr>
          <w:rFonts w:cs="Arial"/>
          <w:b/>
        </w:rPr>
        <w:t>1</w:t>
      </w:r>
      <w:r w:rsidR="009730C1">
        <w:rPr>
          <w:rFonts w:cs="Arial"/>
          <w:b/>
        </w:rPr>
        <w:t>.</w:t>
      </w:r>
      <w:r w:rsidR="00C434C4">
        <w:rPr>
          <w:rFonts w:cs="Arial"/>
          <w:b/>
        </w:rPr>
        <w:t>12</w:t>
      </w:r>
      <w:r w:rsidR="00544623">
        <w:rPr>
          <w:rFonts w:cs="Arial"/>
          <w:b/>
        </w:rPr>
        <w:t xml:space="preserve"> </w:t>
      </w:r>
      <w:r w:rsidR="009730C1">
        <w:rPr>
          <w:rFonts w:cs="Arial"/>
          <w:b/>
        </w:rPr>
        <w:t>2023</w:t>
      </w:r>
      <w:r>
        <w:rPr>
          <w:rFonts w:cs="Arial"/>
        </w:rPr>
        <w:t>. Licence je uživateli udělena na dobu trvání této smlouvy.</w:t>
      </w:r>
    </w:p>
    <w:p w14:paraId="763E4F6B" w14:textId="193FC88C" w:rsidR="007B2A46" w:rsidRDefault="007B2A46" w:rsidP="007B2A46">
      <w:pPr>
        <w:pStyle w:val="ListParagraph"/>
        <w:numPr>
          <w:ilvl w:val="1"/>
          <w:numId w:val="11"/>
        </w:numPr>
        <w:spacing w:before="80" w:after="0" w:line="240" w:lineRule="auto"/>
        <w:ind w:left="709" w:right="260" w:hanging="425"/>
        <w:jc w:val="both"/>
        <w:rPr>
          <w:rFonts w:cs="Arial"/>
        </w:rPr>
      </w:pPr>
      <w:r>
        <w:rPr>
          <w:rFonts w:cs="Arial"/>
        </w:rPr>
        <w:t xml:space="preserve">Každá ze smluvních stran je oprávněna tuto smlouvu písemně vypovědět </w:t>
      </w:r>
      <w:r w:rsidR="00393A26">
        <w:rPr>
          <w:rFonts w:cs="Arial"/>
        </w:rPr>
        <w:t xml:space="preserve">i bez udání důvodu </w:t>
      </w:r>
      <w:r>
        <w:rPr>
          <w:rFonts w:cs="Arial"/>
        </w:rPr>
        <w:t>vždy nejpozději tři měsíce přede dnem uplynutí daného období; smlouva poté zaniká uplynutím posledního dne daného období.</w:t>
      </w:r>
    </w:p>
    <w:p w14:paraId="3EFD72F5" w14:textId="020CA816" w:rsidR="0047614D" w:rsidRDefault="0047614D" w:rsidP="007B2A46">
      <w:pPr>
        <w:pStyle w:val="ListParagraph"/>
        <w:numPr>
          <w:ilvl w:val="1"/>
          <w:numId w:val="11"/>
        </w:numPr>
        <w:spacing w:before="80" w:after="0" w:line="240" w:lineRule="auto"/>
        <w:ind w:left="709" w:right="260" w:hanging="425"/>
        <w:jc w:val="both"/>
        <w:rPr>
          <w:rFonts w:cs="Arial"/>
        </w:rPr>
      </w:pPr>
      <w:r>
        <w:rPr>
          <w:rFonts w:cs="Arial"/>
        </w:rPr>
        <w:t>Nesouhlasí-li uživatel se změnou VOP dle čl. 10.2 VOP, je oprávněn smlouvu vypovědět ode dne doručení informace o změně VOP do jednoho měsíce před u</w:t>
      </w:r>
      <w:r w:rsidRPr="0047614D">
        <w:rPr>
          <w:rFonts w:cs="Arial"/>
        </w:rPr>
        <w:t xml:space="preserve">plynutím </w:t>
      </w:r>
      <w:r>
        <w:rPr>
          <w:rFonts w:cs="Arial"/>
        </w:rPr>
        <w:t xml:space="preserve">daného </w:t>
      </w:r>
      <w:r w:rsidRPr="0047614D">
        <w:rPr>
          <w:rFonts w:cs="Arial"/>
        </w:rPr>
        <w:t>období</w:t>
      </w:r>
      <w:r>
        <w:rPr>
          <w:rFonts w:cs="Arial"/>
        </w:rPr>
        <w:t>; smlouva poté zaniká uplynutím posledního dne daného období.</w:t>
      </w:r>
    </w:p>
    <w:p w14:paraId="67028E37" w14:textId="05368CA0" w:rsidR="00EC6759" w:rsidRDefault="00EC6759" w:rsidP="00654712">
      <w:pPr>
        <w:pStyle w:val="ListParagraph"/>
        <w:numPr>
          <w:ilvl w:val="1"/>
          <w:numId w:val="11"/>
        </w:numPr>
        <w:spacing w:before="80" w:after="0" w:line="240" w:lineRule="auto"/>
        <w:ind w:left="709" w:right="260" w:hanging="425"/>
        <w:jc w:val="both"/>
        <w:rPr>
          <w:rFonts w:cs="Arial"/>
        </w:rPr>
      </w:pPr>
      <w:r w:rsidRPr="00654712">
        <w:rPr>
          <w:rFonts w:cs="Arial"/>
        </w:rPr>
        <w:t xml:space="preserve">Kterákoliv smluvní strana je oprávněna od této </w:t>
      </w:r>
      <w:r w:rsidR="00654712">
        <w:rPr>
          <w:rFonts w:cs="Arial"/>
        </w:rPr>
        <w:t>s</w:t>
      </w:r>
      <w:r w:rsidRPr="00654712">
        <w:rPr>
          <w:rFonts w:cs="Arial"/>
        </w:rPr>
        <w:t xml:space="preserve">mlouvy odstoupit </w:t>
      </w:r>
      <w:r w:rsidR="00AC5359">
        <w:rPr>
          <w:rFonts w:cs="Arial"/>
        </w:rPr>
        <w:t>nad rámec případů uvedených ve VOP i </w:t>
      </w:r>
      <w:r w:rsidRPr="00654712">
        <w:rPr>
          <w:rFonts w:cs="Arial"/>
        </w:rPr>
        <w:t xml:space="preserve">v případě jejího podstatného porušení druhou </w:t>
      </w:r>
      <w:r w:rsidR="00654712">
        <w:rPr>
          <w:rFonts w:cs="Arial"/>
        </w:rPr>
        <w:t>s</w:t>
      </w:r>
      <w:r w:rsidRPr="00654712">
        <w:rPr>
          <w:rFonts w:cs="Arial"/>
        </w:rPr>
        <w:t>mluvní stranou.</w:t>
      </w:r>
    </w:p>
    <w:p w14:paraId="18BD8F39" w14:textId="1943F60B" w:rsidR="00EC592B" w:rsidRPr="00654712" w:rsidRDefault="00EC592B" w:rsidP="00654712">
      <w:pPr>
        <w:pStyle w:val="ListParagraph"/>
        <w:numPr>
          <w:ilvl w:val="1"/>
          <w:numId w:val="11"/>
        </w:numPr>
        <w:spacing w:before="80" w:after="0" w:line="240" w:lineRule="auto"/>
        <w:ind w:left="709" w:right="260" w:hanging="425"/>
        <w:jc w:val="both"/>
        <w:rPr>
          <w:rFonts w:cs="Arial"/>
        </w:rPr>
      </w:pPr>
      <w:r>
        <w:rPr>
          <w:rFonts w:cs="Arial"/>
        </w:rPr>
        <w:t>Dojde-li k odstoupení od této smlouvy ze strany uživatele, má uživatel právo na vrácení části odměny za období po zániku této smlouvy, kterou zaplatil.</w:t>
      </w:r>
    </w:p>
    <w:p w14:paraId="6816CE56" w14:textId="7BF3E1D8" w:rsidR="00EC6759" w:rsidRPr="00654712" w:rsidRDefault="00EC6759" w:rsidP="00654712">
      <w:pPr>
        <w:pStyle w:val="ListParagraph"/>
        <w:numPr>
          <w:ilvl w:val="1"/>
          <w:numId w:val="11"/>
        </w:numPr>
        <w:spacing w:before="80" w:after="0" w:line="240" w:lineRule="auto"/>
        <w:ind w:left="709" w:right="260" w:hanging="425"/>
        <w:jc w:val="both"/>
        <w:rPr>
          <w:rFonts w:cs="Arial"/>
        </w:rPr>
      </w:pPr>
      <w:r w:rsidRPr="00654712">
        <w:rPr>
          <w:rFonts w:cs="Arial"/>
        </w:rPr>
        <w:t xml:space="preserve">Smluvní strany se dohodly na vyloučení použití § 1978 odst. 2 </w:t>
      </w:r>
      <w:r w:rsidR="00654712">
        <w:rPr>
          <w:rFonts w:cs="Arial"/>
        </w:rPr>
        <w:t>o</w:t>
      </w:r>
      <w:r w:rsidRPr="00654712">
        <w:rPr>
          <w:rFonts w:cs="Arial"/>
        </w:rPr>
        <w:t xml:space="preserve">bčanského zákoníku, který stanoví, že marné uplynutí dodatečné lhůty stanovené k plnění může mít za následek odstoupení od této </w:t>
      </w:r>
      <w:r w:rsidR="00654712">
        <w:rPr>
          <w:rFonts w:cs="Arial"/>
        </w:rPr>
        <w:t>s</w:t>
      </w:r>
      <w:r w:rsidRPr="00654712">
        <w:rPr>
          <w:rFonts w:cs="Arial"/>
        </w:rPr>
        <w:t>mlouvy bez dalšího.</w:t>
      </w:r>
    </w:p>
    <w:p w14:paraId="3696C0F6" w14:textId="00DD4048" w:rsidR="00EC6759" w:rsidRDefault="00EC6759" w:rsidP="00654712">
      <w:pPr>
        <w:pStyle w:val="ListParagraph"/>
        <w:numPr>
          <w:ilvl w:val="1"/>
          <w:numId w:val="11"/>
        </w:numPr>
        <w:spacing w:before="80" w:after="0" w:line="240" w:lineRule="auto"/>
        <w:ind w:left="709" w:right="260" w:hanging="425"/>
        <w:jc w:val="both"/>
        <w:rPr>
          <w:rFonts w:cs="Arial"/>
        </w:rPr>
      </w:pPr>
      <w:r w:rsidRPr="00654712">
        <w:rPr>
          <w:rFonts w:cs="Arial"/>
        </w:rPr>
        <w:t xml:space="preserve">Účinky odstoupení od </w:t>
      </w:r>
      <w:r w:rsidR="00654712">
        <w:rPr>
          <w:rFonts w:cs="Arial"/>
        </w:rPr>
        <w:t>s</w:t>
      </w:r>
      <w:r w:rsidRPr="00654712">
        <w:rPr>
          <w:rFonts w:cs="Arial"/>
        </w:rPr>
        <w:t xml:space="preserve">mlouvy nastávají dnem doručení písemného oznámení o odstoupení druhé </w:t>
      </w:r>
      <w:r w:rsidR="00654712">
        <w:rPr>
          <w:rFonts w:cs="Arial"/>
        </w:rPr>
        <w:t>s</w:t>
      </w:r>
      <w:r w:rsidRPr="00654712">
        <w:rPr>
          <w:rFonts w:cs="Arial"/>
        </w:rPr>
        <w:t xml:space="preserve">mluvní straně, není-li v odstoupení stanoveno pozdější datum. Od </w:t>
      </w:r>
      <w:r w:rsidR="00654712">
        <w:rPr>
          <w:rFonts w:cs="Arial"/>
        </w:rPr>
        <w:t>této s</w:t>
      </w:r>
      <w:r w:rsidRPr="00654712">
        <w:rPr>
          <w:rFonts w:cs="Arial"/>
        </w:rPr>
        <w:t xml:space="preserve">mlouvy je možné odstoupit pouze s účinky ex </w:t>
      </w:r>
      <w:proofErr w:type="spellStart"/>
      <w:r w:rsidRPr="00654712">
        <w:rPr>
          <w:rFonts w:cs="Arial"/>
        </w:rPr>
        <w:t>nunc</w:t>
      </w:r>
      <w:proofErr w:type="spellEnd"/>
      <w:r w:rsidRPr="00654712">
        <w:rPr>
          <w:rFonts w:cs="Arial"/>
        </w:rPr>
        <w:t xml:space="preserve"> (do budoucna).</w:t>
      </w:r>
    </w:p>
    <w:p w14:paraId="4F79BCF9" w14:textId="77777777" w:rsidR="007B2A46" w:rsidRDefault="007B2A46" w:rsidP="007B2A46">
      <w:pPr>
        <w:pStyle w:val="ListParagraph"/>
        <w:spacing w:before="100" w:beforeAutospacing="1" w:after="100" w:afterAutospacing="1" w:line="240" w:lineRule="auto"/>
        <w:ind w:left="709" w:right="118" w:hanging="425"/>
        <w:jc w:val="both"/>
        <w:rPr>
          <w:rFonts w:cs="Arial"/>
        </w:rPr>
      </w:pPr>
    </w:p>
    <w:p w14:paraId="0C53751A" w14:textId="77777777" w:rsidR="007B2A46" w:rsidRDefault="007B2A46" w:rsidP="007B2A46">
      <w:pPr>
        <w:pStyle w:val="ListParagraph"/>
        <w:numPr>
          <w:ilvl w:val="0"/>
          <w:numId w:val="11"/>
        </w:numPr>
        <w:spacing w:before="240" w:after="100" w:afterAutospacing="1" w:line="240" w:lineRule="auto"/>
        <w:ind w:left="709" w:right="118" w:hanging="425"/>
        <w:jc w:val="both"/>
        <w:rPr>
          <w:rFonts w:cs="Arial"/>
          <w:b/>
        </w:rPr>
      </w:pPr>
      <w:r>
        <w:rPr>
          <w:rFonts w:cs="Arial"/>
          <w:b/>
        </w:rPr>
        <w:t>Školení</w:t>
      </w:r>
    </w:p>
    <w:p w14:paraId="78C01559" w14:textId="77777777" w:rsidR="007B2A46" w:rsidRDefault="007B2A46" w:rsidP="007B2A46">
      <w:pPr>
        <w:pStyle w:val="ListParagraph"/>
        <w:numPr>
          <w:ilvl w:val="1"/>
          <w:numId w:val="11"/>
        </w:numPr>
        <w:spacing w:after="100" w:afterAutospacing="1" w:line="240" w:lineRule="auto"/>
        <w:ind w:left="709" w:right="260" w:hanging="425"/>
        <w:jc w:val="both"/>
        <w:rPr>
          <w:rFonts w:cs="Arial"/>
        </w:rPr>
      </w:pPr>
      <w:r>
        <w:rPr>
          <w:rFonts w:cs="Arial"/>
        </w:rPr>
        <w:lastRenderedPageBreak/>
        <w:t>Poskytovatel pořádá školení na užívání Beck-online výlučně prostřednictvím svých vyškolených lektorů (dále jen „</w:t>
      </w:r>
      <w:r>
        <w:rPr>
          <w:rFonts w:cs="Arial"/>
          <w:b/>
        </w:rPr>
        <w:t>školení</w:t>
      </w:r>
      <w:r>
        <w:rPr>
          <w:rFonts w:cs="Arial"/>
        </w:rPr>
        <w:t>“).</w:t>
      </w:r>
    </w:p>
    <w:p w14:paraId="7BFFEC4B" w14:textId="370807A0" w:rsidR="007B2A46" w:rsidRDefault="007B2A46" w:rsidP="007B2A46">
      <w:pPr>
        <w:pStyle w:val="ListParagraph"/>
        <w:numPr>
          <w:ilvl w:val="1"/>
          <w:numId w:val="11"/>
        </w:numPr>
        <w:spacing w:before="80" w:after="0" w:line="240" w:lineRule="auto"/>
        <w:ind w:left="709" w:right="260" w:hanging="425"/>
        <w:jc w:val="both"/>
        <w:rPr>
          <w:rFonts w:cs="Arial"/>
        </w:rPr>
      </w:pPr>
      <w:r>
        <w:rPr>
          <w:rFonts w:cs="Arial"/>
        </w:rPr>
        <w:t xml:space="preserve">Účast na školení je zpoplatněna. Cena a aktuální termíny jsou zveřejněny na stránce </w:t>
      </w:r>
      <w:r>
        <w:rPr>
          <w:rFonts w:cs="Arial"/>
        </w:rPr>
        <w:br/>
      </w:r>
      <w:hyperlink r:id="rId9" w:history="1">
        <w:r>
          <w:rPr>
            <w:rStyle w:val="Hyperlink"/>
            <w:rFonts w:cs="Arial"/>
          </w:rPr>
          <w:t>www.beck-online.cz</w:t>
        </w:r>
      </w:hyperlink>
      <w:r>
        <w:rPr>
          <w:rFonts w:cs="Arial"/>
        </w:rPr>
        <w:t>.</w:t>
      </w:r>
    </w:p>
    <w:p w14:paraId="2418E7EB" w14:textId="77777777" w:rsidR="007B2A46" w:rsidRDefault="007B2A46" w:rsidP="007B2A46">
      <w:pPr>
        <w:pStyle w:val="ListParagraph"/>
        <w:numPr>
          <w:ilvl w:val="1"/>
          <w:numId w:val="11"/>
        </w:numPr>
        <w:spacing w:before="80" w:after="0" w:line="240" w:lineRule="auto"/>
        <w:ind w:left="709" w:right="260" w:hanging="425"/>
        <w:jc w:val="both"/>
        <w:rPr>
          <w:rFonts w:cs="Arial"/>
        </w:rPr>
      </w:pPr>
      <w:r>
        <w:rPr>
          <w:rFonts w:cs="Arial"/>
        </w:rPr>
        <w:t>V případě zájmu uživatele lze se zástupcem poskytovatele dohodnout individuálně školení mimo veřejné termíny.</w:t>
      </w:r>
    </w:p>
    <w:p w14:paraId="6A85E0C9" w14:textId="10C99095" w:rsidR="007B2A46" w:rsidRDefault="007B2A46" w:rsidP="007B2A46">
      <w:pPr>
        <w:pStyle w:val="ListParagraph"/>
        <w:numPr>
          <w:ilvl w:val="1"/>
          <w:numId w:val="11"/>
        </w:numPr>
        <w:spacing w:before="120" w:after="0" w:line="240" w:lineRule="auto"/>
        <w:ind w:left="709" w:right="260" w:hanging="425"/>
        <w:jc w:val="both"/>
        <w:rPr>
          <w:rFonts w:cs="Arial"/>
        </w:rPr>
      </w:pPr>
      <w:r>
        <w:rPr>
          <w:rFonts w:cs="Arial"/>
        </w:rPr>
        <w:t xml:space="preserve">V průběhu tří kalendářních měsíců, následujících po </w:t>
      </w:r>
      <w:r w:rsidR="000E3605">
        <w:rPr>
          <w:rFonts w:cs="Arial"/>
        </w:rPr>
        <w:t xml:space="preserve">účinnosti této </w:t>
      </w:r>
      <w:r>
        <w:rPr>
          <w:rFonts w:cs="Arial"/>
        </w:rPr>
        <w:t>smlouvy, má uživatel právo využít jedenkrát školení bezplatně, a to v počtu osob, odpovídajícím počtu uživatelských účtů.</w:t>
      </w:r>
    </w:p>
    <w:p w14:paraId="2D0D64A0" w14:textId="77777777" w:rsidR="007B2A46" w:rsidRDefault="007B2A46" w:rsidP="007B2A46">
      <w:pPr>
        <w:pStyle w:val="ListParagraph"/>
        <w:spacing w:after="100" w:afterAutospacing="1" w:line="240" w:lineRule="auto"/>
        <w:ind w:left="709" w:right="260" w:hanging="425"/>
        <w:jc w:val="both"/>
        <w:rPr>
          <w:rFonts w:cs="Arial"/>
          <w:b/>
        </w:rPr>
      </w:pPr>
    </w:p>
    <w:p w14:paraId="75DA0D49" w14:textId="77777777" w:rsidR="007B2A46" w:rsidRDefault="007B2A46" w:rsidP="007B2A46">
      <w:pPr>
        <w:pStyle w:val="ListParagraph"/>
        <w:numPr>
          <w:ilvl w:val="0"/>
          <w:numId w:val="11"/>
        </w:numPr>
        <w:spacing w:before="240" w:after="100" w:afterAutospacing="1" w:line="240" w:lineRule="auto"/>
        <w:ind w:left="709" w:right="260" w:hanging="425"/>
        <w:jc w:val="both"/>
        <w:rPr>
          <w:rFonts w:cs="Arial"/>
          <w:b/>
        </w:rPr>
      </w:pPr>
      <w:r>
        <w:rPr>
          <w:rFonts w:cs="Arial"/>
          <w:b/>
        </w:rPr>
        <w:t>Odpovědnost poskytovatele za škodu</w:t>
      </w:r>
    </w:p>
    <w:p w14:paraId="493CAE71" w14:textId="1FBC591B" w:rsidR="007B2A46" w:rsidRDefault="007B2A46" w:rsidP="007B2A46">
      <w:pPr>
        <w:pStyle w:val="ListParagraph"/>
        <w:numPr>
          <w:ilvl w:val="1"/>
          <w:numId w:val="11"/>
        </w:numPr>
        <w:spacing w:after="0" w:line="240" w:lineRule="auto"/>
        <w:ind w:left="709" w:right="260" w:hanging="425"/>
        <w:jc w:val="both"/>
        <w:rPr>
          <w:rFonts w:cs="Arial"/>
        </w:rPr>
      </w:pPr>
      <w:r>
        <w:rPr>
          <w:rFonts w:cs="Arial"/>
        </w:rPr>
        <w:t>Smluvní strany sjednávají, že poskytovatel uživateli odpovídá pouze za takovou majetkovou újmu (škodu), která vznikne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14:paraId="37FD07E2" w14:textId="77777777" w:rsidR="00544623" w:rsidRDefault="00544623" w:rsidP="00544623">
      <w:pPr>
        <w:pStyle w:val="ListParagraph"/>
        <w:spacing w:after="0" w:line="240" w:lineRule="auto"/>
        <w:ind w:left="709" w:right="260"/>
        <w:jc w:val="both"/>
        <w:rPr>
          <w:rFonts w:cs="Arial"/>
        </w:rPr>
      </w:pPr>
    </w:p>
    <w:p w14:paraId="012432FC" w14:textId="77777777" w:rsidR="007B2A46" w:rsidRDefault="007B2A46" w:rsidP="007B2A46">
      <w:pPr>
        <w:pStyle w:val="ListParagraph"/>
        <w:numPr>
          <w:ilvl w:val="0"/>
          <w:numId w:val="11"/>
        </w:numPr>
        <w:spacing w:before="240" w:after="100" w:afterAutospacing="1" w:line="240" w:lineRule="auto"/>
        <w:ind w:left="709" w:right="260" w:hanging="425"/>
        <w:jc w:val="both"/>
        <w:rPr>
          <w:rFonts w:cs="Arial"/>
          <w:b/>
        </w:rPr>
      </w:pPr>
      <w:r>
        <w:rPr>
          <w:rFonts w:cs="Arial"/>
          <w:b/>
        </w:rPr>
        <w:t>Závěrečná ustanovení</w:t>
      </w:r>
    </w:p>
    <w:p w14:paraId="64C4A4C4" w14:textId="77777777" w:rsidR="007B2A46" w:rsidRDefault="007B2A46" w:rsidP="007B2A46">
      <w:pPr>
        <w:pStyle w:val="ListParagraph"/>
        <w:numPr>
          <w:ilvl w:val="1"/>
          <w:numId w:val="11"/>
        </w:numPr>
        <w:spacing w:after="0" w:line="240" w:lineRule="auto"/>
        <w:ind w:left="709" w:right="260" w:hanging="425"/>
        <w:jc w:val="both"/>
        <w:rPr>
          <w:rFonts w:cs="Arial"/>
        </w:rPr>
      </w:pPr>
      <w:r>
        <w:rPr>
          <w:rFonts w:cs="Arial"/>
        </w:rPr>
        <w:t>Tato smlouva je uzavřena písemně ve dvou (2) vyhotoveních, z nichž poskytovatel a uživatel obdrží každý po jednom (1).</w:t>
      </w:r>
    </w:p>
    <w:p w14:paraId="66F1EE62" w14:textId="77777777" w:rsidR="007B2A46" w:rsidRDefault="007B2A46" w:rsidP="007B2A46">
      <w:pPr>
        <w:pStyle w:val="ListParagraph"/>
        <w:numPr>
          <w:ilvl w:val="1"/>
          <w:numId w:val="11"/>
        </w:numPr>
        <w:spacing w:before="80" w:after="0" w:line="240" w:lineRule="auto"/>
        <w:ind w:left="709" w:right="260" w:hanging="425"/>
        <w:jc w:val="both"/>
        <w:rPr>
          <w:rFonts w:cs="Arial"/>
        </w:rPr>
      </w:pPr>
      <w:r>
        <w:rPr>
          <w:rFonts w:cs="Arial"/>
        </w:rPr>
        <w:t>Nevykonání kteréhokoliv práva dle této smlouvy nelze vykládat jako vzdání se takovéhoto práva.</w:t>
      </w:r>
    </w:p>
    <w:p w14:paraId="6A532294" w14:textId="77777777" w:rsidR="007B2A46" w:rsidRDefault="007B2A46" w:rsidP="007B2A46">
      <w:pPr>
        <w:pStyle w:val="ListParagraph"/>
        <w:numPr>
          <w:ilvl w:val="1"/>
          <w:numId w:val="11"/>
        </w:numPr>
        <w:spacing w:before="80" w:after="0" w:line="240" w:lineRule="auto"/>
        <w:ind w:left="709" w:right="260" w:hanging="425"/>
        <w:jc w:val="both"/>
        <w:rPr>
          <w:rFonts w:cs="Arial"/>
        </w:rPr>
      </w:pPr>
      <w:r>
        <w:rPr>
          <w:rFonts w:cs="Arial"/>
        </w:rPr>
        <w:t>Práva a povinnosti vyplývající z této smlouvy přecházejí na právní nástupce smluvních stran.</w:t>
      </w:r>
    </w:p>
    <w:p w14:paraId="12628712" w14:textId="4CF14A31" w:rsidR="007B2A46" w:rsidRDefault="007B2A46" w:rsidP="007B2A46">
      <w:pPr>
        <w:pStyle w:val="ListParagraph"/>
        <w:numPr>
          <w:ilvl w:val="1"/>
          <w:numId w:val="11"/>
        </w:numPr>
        <w:spacing w:before="80" w:after="0" w:line="240" w:lineRule="auto"/>
        <w:ind w:left="709" w:right="260" w:hanging="425"/>
        <w:jc w:val="both"/>
        <w:rPr>
          <w:rFonts w:cs="Arial"/>
        </w:rPr>
      </w:pPr>
      <w:r>
        <w:rPr>
          <w:rFonts w:cs="Arial"/>
        </w:rPr>
        <w:t>Tuto smlouvu je možné změnit nebo doplnit pouze uzavřením číslovaných písemných dodatků</w:t>
      </w:r>
      <w:r w:rsidR="00804998">
        <w:rPr>
          <w:rFonts w:cs="Arial"/>
        </w:rPr>
        <w:t>, nestanoví-li tato smlouva jinak</w:t>
      </w:r>
      <w:r>
        <w:rPr>
          <w:rFonts w:cs="Arial"/>
        </w:rPr>
        <w:t>.</w:t>
      </w:r>
    </w:p>
    <w:p w14:paraId="68E48851" w14:textId="77777777" w:rsidR="007B2A46" w:rsidRDefault="007B2A46" w:rsidP="007B2A46">
      <w:pPr>
        <w:tabs>
          <w:tab w:val="left" w:pos="6096"/>
        </w:tabs>
        <w:spacing w:before="240" w:after="0" w:line="240" w:lineRule="auto"/>
        <w:ind w:left="284" w:right="260"/>
        <w:jc w:val="both"/>
        <w:rPr>
          <w:rFonts w:cs="Arial"/>
        </w:rPr>
      </w:pPr>
    </w:p>
    <w:p w14:paraId="224E6FE8" w14:textId="77777777" w:rsidR="007B2A46" w:rsidRDefault="007B2A46" w:rsidP="007B2A46">
      <w:pPr>
        <w:tabs>
          <w:tab w:val="left" w:pos="5387"/>
        </w:tabs>
        <w:spacing w:before="240" w:after="0" w:line="240" w:lineRule="auto"/>
        <w:ind w:left="284" w:right="260"/>
        <w:jc w:val="both"/>
        <w:rPr>
          <w:rFonts w:cs="Arial"/>
        </w:rPr>
      </w:pPr>
      <w:r>
        <w:rPr>
          <w:rFonts w:cs="Arial"/>
        </w:rPr>
        <w:t>V Praze dne ……………</w:t>
      </w:r>
      <w:r>
        <w:rPr>
          <w:rFonts w:cs="Arial"/>
        </w:rPr>
        <w:tab/>
        <w:t>V</w:t>
      </w:r>
      <w:r w:rsidR="00544623">
        <w:rPr>
          <w:rFonts w:cs="Arial"/>
        </w:rPr>
        <w:t> </w:t>
      </w:r>
      <w:bookmarkStart w:id="11" w:name="mesto_firmy1"/>
      <w:bookmarkEnd w:id="11"/>
      <w:r w:rsidR="009730C1">
        <w:rPr>
          <w:rFonts w:cs="Arial"/>
        </w:rPr>
        <w:t>Pra</w:t>
      </w:r>
      <w:r w:rsidR="00544623">
        <w:rPr>
          <w:rFonts w:cs="Arial"/>
        </w:rPr>
        <w:t xml:space="preserve">ze </w:t>
      </w:r>
      <w:r>
        <w:rPr>
          <w:rFonts w:cs="Arial"/>
        </w:rPr>
        <w:t>dne …</w:t>
      </w:r>
      <w:proofErr w:type="gramStart"/>
      <w:r>
        <w:rPr>
          <w:rFonts w:cs="Arial"/>
        </w:rPr>
        <w:t>…….</w:t>
      </w:r>
      <w:proofErr w:type="gramEnd"/>
      <w:r>
        <w:rPr>
          <w:rFonts w:cs="Arial"/>
        </w:rPr>
        <w:t>.</w:t>
      </w:r>
    </w:p>
    <w:p w14:paraId="3627E103" w14:textId="77777777" w:rsidR="007B2A46" w:rsidRDefault="007B2A46" w:rsidP="007B2A46">
      <w:pPr>
        <w:tabs>
          <w:tab w:val="left" w:pos="5387"/>
        </w:tabs>
        <w:spacing w:after="0" w:line="240" w:lineRule="auto"/>
        <w:ind w:left="284" w:right="118"/>
        <w:jc w:val="both"/>
        <w:rPr>
          <w:rFonts w:cs="Arial"/>
        </w:rPr>
      </w:pPr>
    </w:p>
    <w:p w14:paraId="32EFFFBD" w14:textId="77777777" w:rsidR="00544623" w:rsidRDefault="00544623" w:rsidP="007B2A46">
      <w:pPr>
        <w:tabs>
          <w:tab w:val="left" w:pos="5387"/>
        </w:tabs>
        <w:spacing w:after="0" w:line="240" w:lineRule="auto"/>
        <w:ind w:left="284" w:right="118"/>
        <w:jc w:val="both"/>
        <w:rPr>
          <w:rFonts w:cs="Arial"/>
        </w:rPr>
      </w:pPr>
    </w:p>
    <w:p w14:paraId="3C32D2B9" w14:textId="77777777" w:rsidR="00544623" w:rsidRDefault="00544623" w:rsidP="007B2A46">
      <w:pPr>
        <w:tabs>
          <w:tab w:val="left" w:pos="5387"/>
        </w:tabs>
        <w:spacing w:after="0" w:line="240" w:lineRule="auto"/>
        <w:ind w:left="284" w:right="118"/>
        <w:jc w:val="both"/>
        <w:rPr>
          <w:rFonts w:cs="Arial"/>
        </w:rPr>
      </w:pPr>
    </w:p>
    <w:p w14:paraId="04CACD9D" w14:textId="77777777" w:rsidR="007B2A46" w:rsidRDefault="007B2A46" w:rsidP="007B2A46">
      <w:pPr>
        <w:tabs>
          <w:tab w:val="left" w:pos="5387"/>
        </w:tabs>
        <w:spacing w:after="0" w:line="240" w:lineRule="auto"/>
        <w:ind w:left="284" w:right="118"/>
        <w:jc w:val="both"/>
        <w:rPr>
          <w:rFonts w:cs="Arial"/>
        </w:rPr>
      </w:pPr>
    </w:p>
    <w:p w14:paraId="733EC1AB" w14:textId="77777777" w:rsidR="007B2A46" w:rsidRDefault="007B2A46" w:rsidP="007B2A46">
      <w:pPr>
        <w:tabs>
          <w:tab w:val="left" w:pos="5387"/>
        </w:tabs>
        <w:spacing w:after="0" w:line="240" w:lineRule="auto"/>
        <w:ind w:left="284" w:right="118"/>
        <w:jc w:val="both"/>
        <w:rPr>
          <w:rFonts w:cs="Arial"/>
        </w:rPr>
      </w:pPr>
      <w:r>
        <w:rPr>
          <w:rFonts w:cs="Arial"/>
        </w:rPr>
        <w:t>_____________________________</w:t>
      </w:r>
      <w:r>
        <w:rPr>
          <w:rFonts w:cs="Arial"/>
        </w:rPr>
        <w:tab/>
        <w:t>_____________________________</w:t>
      </w:r>
    </w:p>
    <w:p w14:paraId="4998C1D2" w14:textId="77777777" w:rsidR="007B2A46" w:rsidRDefault="007B2A46" w:rsidP="007B2A46">
      <w:pPr>
        <w:tabs>
          <w:tab w:val="left" w:pos="5387"/>
        </w:tabs>
        <w:spacing w:after="0" w:line="240" w:lineRule="auto"/>
        <w:ind w:right="118"/>
        <w:jc w:val="both"/>
        <w:rPr>
          <w:rFonts w:cs="Arial"/>
          <w:b/>
        </w:rPr>
      </w:pPr>
      <w:r>
        <w:rPr>
          <w:rFonts w:cs="Arial"/>
          <w:b/>
        </w:rPr>
        <w:t xml:space="preserve">     Nakladatelství </w:t>
      </w:r>
      <w:proofErr w:type="spellStart"/>
      <w:r>
        <w:rPr>
          <w:rFonts w:cs="Arial"/>
          <w:b/>
        </w:rPr>
        <w:t>C.H.Beck</w:t>
      </w:r>
      <w:proofErr w:type="spellEnd"/>
      <w:r>
        <w:rPr>
          <w:rFonts w:cs="Arial"/>
          <w:b/>
        </w:rPr>
        <w:t>, s.r.o.</w:t>
      </w:r>
      <w:r>
        <w:rPr>
          <w:rFonts w:cs="Arial"/>
          <w:b/>
        </w:rPr>
        <w:tab/>
      </w:r>
      <w:bookmarkStart w:id="12" w:name="jmeno_firmy2"/>
      <w:bookmarkEnd w:id="12"/>
      <w:r w:rsidR="009730C1">
        <w:rPr>
          <w:rFonts w:cs="Arial"/>
          <w:b/>
        </w:rPr>
        <w:t>Národní technická knihovna</w:t>
      </w:r>
    </w:p>
    <w:p w14:paraId="1AF82B5B" w14:textId="77777777" w:rsidR="007B2A46" w:rsidRDefault="007B2A46" w:rsidP="001447FF">
      <w:pPr>
        <w:spacing w:after="0" w:line="240" w:lineRule="auto"/>
        <w:rPr>
          <w:rFonts w:cs="Arial"/>
          <w:b/>
        </w:rPr>
      </w:pPr>
      <w:r>
        <w:rPr>
          <w:rFonts w:cs="Arial"/>
          <w:b/>
        </w:rPr>
        <w:br w:type="page"/>
      </w:r>
      <w:r>
        <w:rPr>
          <w:rFonts w:cs="Arial"/>
          <w:b/>
        </w:rPr>
        <w:lastRenderedPageBreak/>
        <w:t>PŘÍLOHA: Rozsah licence</w:t>
      </w:r>
      <w:r>
        <w:rPr>
          <w:rFonts w:cs="Arial"/>
          <w:b/>
        </w:rPr>
        <w:tab/>
      </w:r>
    </w:p>
    <w:p w14:paraId="3DA3FC47" w14:textId="77777777" w:rsidR="007B2A46" w:rsidRDefault="007B2A46" w:rsidP="007B2A46">
      <w:pPr>
        <w:pStyle w:val="ListParagraph"/>
        <w:tabs>
          <w:tab w:val="left" w:pos="6360"/>
        </w:tabs>
        <w:spacing w:after="0" w:line="240" w:lineRule="auto"/>
        <w:ind w:left="567" w:right="260"/>
        <w:jc w:val="both"/>
        <w:rPr>
          <w:rFonts w:cs="Arial"/>
        </w:rPr>
      </w:pPr>
      <w:r>
        <w:rPr>
          <w:rFonts w:cs="Arial"/>
        </w:rPr>
        <w:tab/>
      </w:r>
    </w:p>
    <w:p w14:paraId="57120ECD" w14:textId="77777777" w:rsidR="007B2A46" w:rsidRDefault="007B2A46" w:rsidP="007B2A46">
      <w:pPr>
        <w:pStyle w:val="ListParagraph"/>
        <w:numPr>
          <w:ilvl w:val="0"/>
          <w:numId w:val="12"/>
        </w:numPr>
        <w:spacing w:after="0" w:line="240" w:lineRule="auto"/>
        <w:ind w:left="709" w:right="-24" w:hanging="425"/>
        <w:jc w:val="both"/>
        <w:rPr>
          <w:rFonts w:cs="Arial"/>
          <w:b/>
        </w:rPr>
      </w:pPr>
      <w:r>
        <w:rPr>
          <w:rFonts w:cs="Arial"/>
          <w:b/>
        </w:rPr>
        <w:t>Specifikace obsahu a počtu licencí</w:t>
      </w:r>
    </w:p>
    <w:p w14:paraId="6ACEB499" w14:textId="77777777" w:rsidR="007B2A46" w:rsidRDefault="007B2A46" w:rsidP="007B2A46">
      <w:pPr>
        <w:spacing w:after="0" w:line="240" w:lineRule="auto"/>
        <w:ind w:left="709" w:right="260"/>
        <w:jc w:val="both"/>
        <w:rPr>
          <w:rFonts w:cs="Arial"/>
        </w:rPr>
      </w:pPr>
      <w:r>
        <w:rPr>
          <w:rFonts w:cs="Arial"/>
        </w:rPr>
        <w:t>Prostřednictvím uživatelského účtu bude uživatel oprávněn přistupovat a užívat výlučně následující databáze (moduly) Beck-online v uvedeném počtu osob:</w:t>
      </w:r>
    </w:p>
    <w:p w14:paraId="16F34187" w14:textId="77777777" w:rsidR="007B2A46" w:rsidRDefault="007B2A46" w:rsidP="007B2A46">
      <w:pPr>
        <w:rPr>
          <w:color w:val="76923C"/>
        </w:rPr>
      </w:pPr>
    </w:p>
    <w:tbl>
      <w:tblPr>
        <w:tblW w:w="8765" w:type="dxa"/>
        <w:tblInd w:w="567" w:type="dxa"/>
        <w:tblBorders>
          <w:insideH w:val="single" w:sz="4" w:space="0" w:color="auto"/>
        </w:tblBorders>
        <w:tblLook w:val="04A0" w:firstRow="1" w:lastRow="0" w:firstColumn="1" w:lastColumn="0" w:noHBand="0" w:noVBand="1"/>
      </w:tblPr>
      <w:tblGrid>
        <w:gridCol w:w="4820"/>
        <w:gridCol w:w="3945"/>
      </w:tblGrid>
      <w:tr w:rsidR="007B2A46" w14:paraId="465AB44F" w14:textId="77777777" w:rsidTr="00544623">
        <w:trPr>
          <w:trHeight w:val="254"/>
        </w:trPr>
        <w:tc>
          <w:tcPr>
            <w:tcW w:w="4820" w:type="dxa"/>
            <w:tcBorders>
              <w:top w:val="nil"/>
              <w:bottom w:val="single" w:sz="4" w:space="0" w:color="auto"/>
            </w:tcBorders>
            <w:hideMark/>
          </w:tcPr>
          <w:p w14:paraId="0D2599E9" w14:textId="77777777" w:rsidR="007B2A46" w:rsidRDefault="007B2A46">
            <w:pPr>
              <w:spacing w:after="0" w:line="240" w:lineRule="auto"/>
              <w:ind w:left="33"/>
              <w:rPr>
                <w:b/>
                <w:bCs/>
              </w:rPr>
            </w:pPr>
            <w:bookmarkStart w:id="13" w:name="sl1"/>
            <w:bookmarkStart w:id="14" w:name="sl3" w:colFirst="1" w:colLast="1"/>
            <w:bookmarkEnd w:id="13"/>
            <w:r>
              <w:rPr>
                <w:b/>
                <w:bCs/>
              </w:rPr>
              <w:t>Modul</w:t>
            </w:r>
          </w:p>
        </w:tc>
        <w:tc>
          <w:tcPr>
            <w:tcW w:w="3945" w:type="dxa"/>
            <w:tcBorders>
              <w:top w:val="nil"/>
              <w:bottom w:val="single" w:sz="4" w:space="0" w:color="auto"/>
            </w:tcBorders>
            <w:hideMark/>
          </w:tcPr>
          <w:p w14:paraId="768E2628" w14:textId="77777777" w:rsidR="007B2A46" w:rsidRDefault="007B2A46">
            <w:pPr>
              <w:spacing w:after="0" w:line="240" w:lineRule="auto"/>
              <w:rPr>
                <w:b/>
                <w:bCs/>
                <w:color w:val="000000"/>
              </w:rPr>
            </w:pPr>
            <w:bookmarkStart w:id="15" w:name="sl2"/>
            <w:bookmarkEnd w:id="15"/>
          </w:p>
        </w:tc>
      </w:tr>
      <w:tr w:rsidR="00544623" w:rsidRPr="00544623" w14:paraId="6FF2630F" w14:textId="77777777" w:rsidTr="00544623">
        <w:trPr>
          <w:trHeight w:val="254"/>
        </w:trPr>
        <w:tc>
          <w:tcPr>
            <w:tcW w:w="4820" w:type="dxa"/>
            <w:tcBorders>
              <w:top w:val="single" w:sz="4" w:space="0" w:color="auto"/>
              <w:bottom w:val="nil"/>
            </w:tcBorders>
          </w:tcPr>
          <w:p w14:paraId="20C40435" w14:textId="77777777" w:rsidR="00544623" w:rsidRPr="00544623" w:rsidRDefault="00544623">
            <w:pPr>
              <w:spacing w:after="0" w:line="240" w:lineRule="auto"/>
              <w:ind w:left="33"/>
              <w:rPr>
                <w:bCs/>
              </w:rPr>
            </w:pPr>
            <w:r w:rsidRPr="00544623">
              <w:rPr>
                <w:bCs/>
              </w:rPr>
              <w:t>Beck-online PRO</w:t>
            </w:r>
          </w:p>
        </w:tc>
        <w:tc>
          <w:tcPr>
            <w:tcW w:w="3945" w:type="dxa"/>
            <w:tcBorders>
              <w:top w:val="single" w:sz="4" w:space="0" w:color="auto"/>
              <w:bottom w:val="nil"/>
            </w:tcBorders>
          </w:tcPr>
          <w:p w14:paraId="1AE22000" w14:textId="77777777" w:rsidR="00544623" w:rsidRPr="00544623" w:rsidRDefault="00544623">
            <w:pPr>
              <w:spacing w:after="0" w:line="240" w:lineRule="auto"/>
              <w:rPr>
                <w:rFonts w:eastAsia="Times New Roman" w:cs="Arial"/>
                <w:bCs/>
                <w:color w:val="000000"/>
              </w:rPr>
            </w:pPr>
            <w:r w:rsidRPr="00544623">
              <w:rPr>
                <w:rFonts w:eastAsia="Times New Roman" w:cs="Arial"/>
                <w:bCs/>
                <w:color w:val="000000"/>
              </w:rPr>
              <w:t>2</w:t>
            </w:r>
          </w:p>
        </w:tc>
      </w:tr>
      <w:tr w:rsidR="00544623" w:rsidRPr="00544623" w14:paraId="0AB516E7" w14:textId="77777777" w:rsidTr="00544623">
        <w:trPr>
          <w:trHeight w:val="254"/>
        </w:trPr>
        <w:tc>
          <w:tcPr>
            <w:tcW w:w="4820" w:type="dxa"/>
            <w:tcBorders>
              <w:top w:val="nil"/>
              <w:bottom w:val="nil"/>
            </w:tcBorders>
          </w:tcPr>
          <w:p w14:paraId="40CF2618" w14:textId="77777777" w:rsidR="00544623" w:rsidRPr="00544623" w:rsidRDefault="00544623">
            <w:pPr>
              <w:spacing w:after="0" w:line="240" w:lineRule="auto"/>
              <w:ind w:left="33"/>
              <w:rPr>
                <w:bCs/>
              </w:rPr>
            </w:pPr>
            <w:r w:rsidRPr="00544623">
              <w:rPr>
                <w:bCs/>
              </w:rPr>
              <w:t>Daňové právo</w:t>
            </w:r>
          </w:p>
        </w:tc>
        <w:tc>
          <w:tcPr>
            <w:tcW w:w="3945" w:type="dxa"/>
            <w:tcBorders>
              <w:top w:val="nil"/>
              <w:bottom w:val="nil"/>
            </w:tcBorders>
          </w:tcPr>
          <w:p w14:paraId="65F53312" w14:textId="77777777" w:rsidR="00544623" w:rsidRPr="00544623" w:rsidRDefault="00544623">
            <w:pPr>
              <w:spacing w:after="0" w:line="240" w:lineRule="auto"/>
              <w:rPr>
                <w:rFonts w:eastAsia="Times New Roman" w:cs="Arial"/>
                <w:bCs/>
                <w:color w:val="000000"/>
              </w:rPr>
            </w:pPr>
            <w:r w:rsidRPr="00544623">
              <w:rPr>
                <w:rFonts w:eastAsia="Times New Roman" w:cs="Arial"/>
                <w:bCs/>
                <w:color w:val="000000"/>
              </w:rPr>
              <w:t>2</w:t>
            </w:r>
          </w:p>
        </w:tc>
      </w:tr>
      <w:tr w:rsidR="00544623" w:rsidRPr="00544623" w14:paraId="22D01E07" w14:textId="77777777" w:rsidTr="00544623">
        <w:trPr>
          <w:trHeight w:val="254"/>
        </w:trPr>
        <w:tc>
          <w:tcPr>
            <w:tcW w:w="4820" w:type="dxa"/>
            <w:tcBorders>
              <w:top w:val="nil"/>
              <w:bottom w:val="nil"/>
            </w:tcBorders>
          </w:tcPr>
          <w:p w14:paraId="603C5BD5" w14:textId="77777777" w:rsidR="00544623" w:rsidRPr="00544623" w:rsidRDefault="00544623">
            <w:pPr>
              <w:spacing w:after="0" w:line="240" w:lineRule="auto"/>
              <w:ind w:left="33"/>
              <w:rPr>
                <w:bCs/>
              </w:rPr>
            </w:pPr>
            <w:r w:rsidRPr="00544623">
              <w:rPr>
                <w:bCs/>
              </w:rPr>
              <w:t>Duševní vlastnictví</w:t>
            </w:r>
          </w:p>
        </w:tc>
        <w:tc>
          <w:tcPr>
            <w:tcW w:w="3945" w:type="dxa"/>
            <w:tcBorders>
              <w:top w:val="nil"/>
              <w:bottom w:val="nil"/>
            </w:tcBorders>
          </w:tcPr>
          <w:p w14:paraId="069BD1E6" w14:textId="77777777" w:rsidR="00544623" w:rsidRPr="00544623" w:rsidRDefault="00544623">
            <w:pPr>
              <w:spacing w:after="0" w:line="240" w:lineRule="auto"/>
              <w:rPr>
                <w:rFonts w:eastAsia="Times New Roman" w:cs="Arial"/>
                <w:bCs/>
                <w:color w:val="000000"/>
              </w:rPr>
            </w:pPr>
            <w:r w:rsidRPr="00544623">
              <w:rPr>
                <w:rFonts w:eastAsia="Times New Roman" w:cs="Arial"/>
                <w:bCs/>
                <w:color w:val="000000"/>
              </w:rPr>
              <w:t>2</w:t>
            </w:r>
          </w:p>
        </w:tc>
      </w:tr>
      <w:tr w:rsidR="00544623" w:rsidRPr="00544623" w14:paraId="4D7503FA" w14:textId="77777777" w:rsidTr="00544623">
        <w:trPr>
          <w:trHeight w:val="254"/>
        </w:trPr>
        <w:tc>
          <w:tcPr>
            <w:tcW w:w="4820" w:type="dxa"/>
            <w:tcBorders>
              <w:top w:val="nil"/>
              <w:bottom w:val="nil"/>
            </w:tcBorders>
          </w:tcPr>
          <w:p w14:paraId="251CB23C" w14:textId="77777777" w:rsidR="00544623" w:rsidRPr="00544623" w:rsidRDefault="00544623">
            <w:pPr>
              <w:spacing w:after="0" w:line="240" w:lineRule="auto"/>
              <w:ind w:left="33"/>
              <w:rPr>
                <w:bCs/>
              </w:rPr>
            </w:pPr>
            <w:r w:rsidRPr="00544623">
              <w:rPr>
                <w:bCs/>
              </w:rPr>
              <w:t>Finanční právo</w:t>
            </w:r>
          </w:p>
        </w:tc>
        <w:tc>
          <w:tcPr>
            <w:tcW w:w="3945" w:type="dxa"/>
            <w:tcBorders>
              <w:top w:val="nil"/>
              <w:bottom w:val="nil"/>
            </w:tcBorders>
          </w:tcPr>
          <w:p w14:paraId="58EE6A68" w14:textId="77777777" w:rsidR="00544623" w:rsidRPr="00544623" w:rsidRDefault="00544623">
            <w:pPr>
              <w:spacing w:after="0" w:line="240" w:lineRule="auto"/>
              <w:rPr>
                <w:rFonts w:eastAsia="Times New Roman" w:cs="Arial"/>
                <w:bCs/>
                <w:color w:val="000000"/>
              </w:rPr>
            </w:pPr>
            <w:r w:rsidRPr="00544623">
              <w:rPr>
                <w:rFonts w:eastAsia="Times New Roman" w:cs="Arial"/>
                <w:bCs/>
                <w:color w:val="000000"/>
              </w:rPr>
              <w:t>2</w:t>
            </w:r>
          </w:p>
        </w:tc>
      </w:tr>
      <w:tr w:rsidR="00544623" w:rsidRPr="00544623" w14:paraId="784FED61" w14:textId="77777777" w:rsidTr="00544623">
        <w:trPr>
          <w:trHeight w:val="254"/>
        </w:trPr>
        <w:tc>
          <w:tcPr>
            <w:tcW w:w="4820" w:type="dxa"/>
            <w:tcBorders>
              <w:top w:val="nil"/>
              <w:bottom w:val="nil"/>
            </w:tcBorders>
          </w:tcPr>
          <w:p w14:paraId="1D2672C0" w14:textId="77777777" w:rsidR="00544623" w:rsidRPr="00544623" w:rsidRDefault="00544623">
            <w:pPr>
              <w:spacing w:after="0" w:line="240" w:lineRule="auto"/>
              <w:ind w:left="33"/>
              <w:rPr>
                <w:bCs/>
              </w:rPr>
            </w:pPr>
            <w:r w:rsidRPr="00544623">
              <w:rPr>
                <w:bCs/>
              </w:rPr>
              <w:t>Justiční a procesní právo</w:t>
            </w:r>
          </w:p>
        </w:tc>
        <w:tc>
          <w:tcPr>
            <w:tcW w:w="3945" w:type="dxa"/>
            <w:tcBorders>
              <w:top w:val="nil"/>
              <w:bottom w:val="nil"/>
            </w:tcBorders>
          </w:tcPr>
          <w:p w14:paraId="670CFCED" w14:textId="77777777" w:rsidR="00544623" w:rsidRPr="00544623" w:rsidRDefault="00544623">
            <w:pPr>
              <w:spacing w:after="0" w:line="240" w:lineRule="auto"/>
              <w:rPr>
                <w:rFonts w:eastAsia="Times New Roman" w:cs="Arial"/>
                <w:bCs/>
                <w:color w:val="000000"/>
              </w:rPr>
            </w:pPr>
            <w:r w:rsidRPr="00544623">
              <w:rPr>
                <w:rFonts w:eastAsia="Times New Roman" w:cs="Arial"/>
                <w:bCs/>
                <w:color w:val="000000"/>
              </w:rPr>
              <w:t>2</w:t>
            </w:r>
          </w:p>
        </w:tc>
      </w:tr>
      <w:tr w:rsidR="00544623" w:rsidRPr="00544623" w14:paraId="4706B69D" w14:textId="77777777" w:rsidTr="00544623">
        <w:trPr>
          <w:trHeight w:val="254"/>
        </w:trPr>
        <w:tc>
          <w:tcPr>
            <w:tcW w:w="4820" w:type="dxa"/>
            <w:tcBorders>
              <w:top w:val="nil"/>
              <w:bottom w:val="nil"/>
            </w:tcBorders>
          </w:tcPr>
          <w:p w14:paraId="2D52A7E9" w14:textId="77777777" w:rsidR="00544623" w:rsidRPr="00544623" w:rsidRDefault="00544623">
            <w:pPr>
              <w:spacing w:after="0" w:line="240" w:lineRule="auto"/>
              <w:ind w:left="33"/>
              <w:rPr>
                <w:bCs/>
              </w:rPr>
            </w:pPr>
            <w:r w:rsidRPr="00544623">
              <w:rPr>
                <w:bCs/>
              </w:rPr>
              <w:t>Občanské právo</w:t>
            </w:r>
          </w:p>
        </w:tc>
        <w:tc>
          <w:tcPr>
            <w:tcW w:w="3945" w:type="dxa"/>
            <w:tcBorders>
              <w:top w:val="nil"/>
              <w:bottom w:val="nil"/>
            </w:tcBorders>
          </w:tcPr>
          <w:p w14:paraId="57007148" w14:textId="77777777" w:rsidR="00544623" w:rsidRPr="00544623" w:rsidRDefault="00544623">
            <w:pPr>
              <w:spacing w:after="0" w:line="240" w:lineRule="auto"/>
              <w:rPr>
                <w:rFonts w:eastAsia="Times New Roman" w:cs="Arial"/>
                <w:bCs/>
                <w:color w:val="000000"/>
              </w:rPr>
            </w:pPr>
            <w:r w:rsidRPr="00544623">
              <w:rPr>
                <w:rFonts w:eastAsia="Times New Roman" w:cs="Arial"/>
                <w:bCs/>
                <w:color w:val="000000"/>
              </w:rPr>
              <w:t>2</w:t>
            </w:r>
          </w:p>
        </w:tc>
      </w:tr>
      <w:tr w:rsidR="00544623" w:rsidRPr="00544623" w14:paraId="411E67CA" w14:textId="77777777" w:rsidTr="00544623">
        <w:trPr>
          <w:trHeight w:val="254"/>
        </w:trPr>
        <w:tc>
          <w:tcPr>
            <w:tcW w:w="4820" w:type="dxa"/>
            <w:tcBorders>
              <w:top w:val="nil"/>
              <w:bottom w:val="nil"/>
            </w:tcBorders>
          </w:tcPr>
          <w:p w14:paraId="67988E9B" w14:textId="77777777" w:rsidR="00544623" w:rsidRPr="00544623" w:rsidRDefault="00544623">
            <w:pPr>
              <w:spacing w:after="0" w:line="240" w:lineRule="auto"/>
              <w:ind w:left="33"/>
              <w:rPr>
                <w:bCs/>
              </w:rPr>
            </w:pPr>
            <w:r w:rsidRPr="00544623">
              <w:rPr>
                <w:bCs/>
              </w:rPr>
              <w:t>Obchodní korporace</w:t>
            </w:r>
          </w:p>
        </w:tc>
        <w:tc>
          <w:tcPr>
            <w:tcW w:w="3945" w:type="dxa"/>
            <w:tcBorders>
              <w:top w:val="nil"/>
              <w:bottom w:val="nil"/>
            </w:tcBorders>
          </w:tcPr>
          <w:p w14:paraId="62A3CDE3" w14:textId="77777777" w:rsidR="00544623" w:rsidRPr="00544623" w:rsidRDefault="00544623">
            <w:pPr>
              <w:spacing w:after="0" w:line="240" w:lineRule="auto"/>
              <w:rPr>
                <w:rFonts w:eastAsia="Times New Roman" w:cs="Arial"/>
                <w:bCs/>
                <w:color w:val="000000"/>
              </w:rPr>
            </w:pPr>
            <w:r w:rsidRPr="00544623">
              <w:rPr>
                <w:rFonts w:eastAsia="Times New Roman" w:cs="Arial"/>
                <w:bCs/>
                <w:color w:val="000000"/>
              </w:rPr>
              <w:t>2</w:t>
            </w:r>
          </w:p>
        </w:tc>
      </w:tr>
      <w:tr w:rsidR="00544623" w:rsidRPr="00544623" w14:paraId="42D8CCBB" w14:textId="77777777" w:rsidTr="00544623">
        <w:trPr>
          <w:trHeight w:val="254"/>
        </w:trPr>
        <w:tc>
          <w:tcPr>
            <w:tcW w:w="4820" w:type="dxa"/>
            <w:tcBorders>
              <w:top w:val="nil"/>
              <w:bottom w:val="nil"/>
            </w:tcBorders>
          </w:tcPr>
          <w:p w14:paraId="4680808E" w14:textId="77777777" w:rsidR="00544623" w:rsidRPr="00544623" w:rsidRDefault="00544623">
            <w:pPr>
              <w:spacing w:after="0" w:line="240" w:lineRule="auto"/>
              <w:ind w:left="33"/>
              <w:rPr>
                <w:bCs/>
              </w:rPr>
            </w:pPr>
            <w:r w:rsidRPr="00544623">
              <w:rPr>
                <w:bCs/>
              </w:rPr>
              <w:t>Pracovní a sociální právo</w:t>
            </w:r>
          </w:p>
        </w:tc>
        <w:tc>
          <w:tcPr>
            <w:tcW w:w="3945" w:type="dxa"/>
            <w:tcBorders>
              <w:top w:val="nil"/>
              <w:bottom w:val="nil"/>
            </w:tcBorders>
          </w:tcPr>
          <w:p w14:paraId="4AD0AF10" w14:textId="77777777" w:rsidR="00544623" w:rsidRPr="00544623" w:rsidRDefault="00544623">
            <w:pPr>
              <w:spacing w:after="0" w:line="240" w:lineRule="auto"/>
              <w:rPr>
                <w:rFonts w:eastAsia="Times New Roman" w:cs="Arial"/>
                <w:bCs/>
                <w:color w:val="000000"/>
              </w:rPr>
            </w:pPr>
            <w:r w:rsidRPr="00544623">
              <w:rPr>
                <w:rFonts w:eastAsia="Times New Roman" w:cs="Arial"/>
                <w:bCs/>
                <w:color w:val="000000"/>
              </w:rPr>
              <w:t>2</w:t>
            </w:r>
          </w:p>
        </w:tc>
      </w:tr>
      <w:tr w:rsidR="00544623" w:rsidRPr="00544623" w14:paraId="781410D7" w14:textId="77777777" w:rsidTr="00544623">
        <w:trPr>
          <w:trHeight w:val="254"/>
        </w:trPr>
        <w:tc>
          <w:tcPr>
            <w:tcW w:w="4820" w:type="dxa"/>
            <w:tcBorders>
              <w:top w:val="nil"/>
              <w:bottom w:val="nil"/>
            </w:tcBorders>
          </w:tcPr>
          <w:p w14:paraId="12330C8F" w14:textId="77777777" w:rsidR="00544623" w:rsidRPr="00544623" w:rsidRDefault="00544623">
            <w:pPr>
              <w:spacing w:after="0" w:line="240" w:lineRule="auto"/>
              <w:ind w:left="33"/>
              <w:rPr>
                <w:bCs/>
              </w:rPr>
            </w:pPr>
            <w:r w:rsidRPr="00544623">
              <w:rPr>
                <w:bCs/>
              </w:rPr>
              <w:t>Soutěžní právo</w:t>
            </w:r>
          </w:p>
        </w:tc>
        <w:tc>
          <w:tcPr>
            <w:tcW w:w="3945" w:type="dxa"/>
            <w:tcBorders>
              <w:top w:val="nil"/>
              <w:bottom w:val="nil"/>
            </w:tcBorders>
          </w:tcPr>
          <w:p w14:paraId="4B758FA2" w14:textId="77777777" w:rsidR="00544623" w:rsidRPr="00544623" w:rsidRDefault="00544623">
            <w:pPr>
              <w:spacing w:after="0" w:line="240" w:lineRule="auto"/>
              <w:rPr>
                <w:rFonts w:eastAsia="Times New Roman" w:cs="Arial"/>
                <w:bCs/>
                <w:color w:val="000000"/>
              </w:rPr>
            </w:pPr>
            <w:r w:rsidRPr="00544623">
              <w:rPr>
                <w:rFonts w:eastAsia="Times New Roman" w:cs="Arial"/>
                <w:bCs/>
                <w:color w:val="000000"/>
              </w:rPr>
              <w:t>2</w:t>
            </w:r>
          </w:p>
        </w:tc>
      </w:tr>
      <w:tr w:rsidR="00544623" w:rsidRPr="00544623" w14:paraId="6782FE5A" w14:textId="77777777" w:rsidTr="00544623">
        <w:trPr>
          <w:trHeight w:val="254"/>
        </w:trPr>
        <w:tc>
          <w:tcPr>
            <w:tcW w:w="4820" w:type="dxa"/>
            <w:tcBorders>
              <w:top w:val="nil"/>
              <w:bottom w:val="nil"/>
            </w:tcBorders>
          </w:tcPr>
          <w:p w14:paraId="34D703E3" w14:textId="77777777" w:rsidR="00544623" w:rsidRPr="00544623" w:rsidRDefault="00544623">
            <w:pPr>
              <w:spacing w:after="0" w:line="240" w:lineRule="auto"/>
              <w:ind w:left="33"/>
              <w:rPr>
                <w:bCs/>
              </w:rPr>
            </w:pPr>
            <w:r w:rsidRPr="00544623">
              <w:rPr>
                <w:bCs/>
              </w:rPr>
              <w:t>Správní a ústavní právo</w:t>
            </w:r>
          </w:p>
        </w:tc>
        <w:tc>
          <w:tcPr>
            <w:tcW w:w="3945" w:type="dxa"/>
            <w:tcBorders>
              <w:top w:val="nil"/>
              <w:bottom w:val="nil"/>
            </w:tcBorders>
          </w:tcPr>
          <w:p w14:paraId="37BCF801" w14:textId="77777777" w:rsidR="00544623" w:rsidRPr="00544623" w:rsidRDefault="00544623">
            <w:pPr>
              <w:spacing w:after="0" w:line="240" w:lineRule="auto"/>
              <w:rPr>
                <w:rFonts w:eastAsia="Times New Roman" w:cs="Arial"/>
                <w:bCs/>
                <w:color w:val="000000"/>
              </w:rPr>
            </w:pPr>
            <w:r w:rsidRPr="00544623">
              <w:rPr>
                <w:rFonts w:eastAsia="Times New Roman" w:cs="Arial"/>
                <w:bCs/>
                <w:color w:val="000000"/>
              </w:rPr>
              <w:t>2</w:t>
            </w:r>
          </w:p>
        </w:tc>
      </w:tr>
      <w:tr w:rsidR="00544623" w:rsidRPr="00544623" w14:paraId="37A93EAA" w14:textId="77777777" w:rsidTr="00544623">
        <w:trPr>
          <w:trHeight w:val="254"/>
        </w:trPr>
        <w:tc>
          <w:tcPr>
            <w:tcW w:w="4820" w:type="dxa"/>
            <w:tcBorders>
              <w:top w:val="nil"/>
              <w:bottom w:val="nil"/>
            </w:tcBorders>
          </w:tcPr>
          <w:p w14:paraId="2764A12F" w14:textId="77777777" w:rsidR="00544623" w:rsidRPr="00544623" w:rsidRDefault="00544623">
            <w:pPr>
              <w:spacing w:after="0" w:line="240" w:lineRule="auto"/>
              <w:ind w:left="33"/>
              <w:rPr>
                <w:bCs/>
              </w:rPr>
            </w:pPr>
            <w:r w:rsidRPr="00544623">
              <w:rPr>
                <w:bCs/>
              </w:rPr>
              <w:t xml:space="preserve">Správní </w:t>
            </w:r>
            <w:proofErr w:type="gramStart"/>
            <w:r w:rsidRPr="00544623">
              <w:rPr>
                <w:bCs/>
              </w:rPr>
              <w:t>právo - obce</w:t>
            </w:r>
            <w:proofErr w:type="gramEnd"/>
            <w:r w:rsidRPr="00544623">
              <w:rPr>
                <w:bCs/>
              </w:rPr>
              <w:t xml:space="preserve"> a kraje</w:t>
            </w:r>
          </w:p>
        </w:tc>
        <w:tc>
          <w:tcPr>
            <w:tcW w:w="3945" w:type="dxa"/>
            <w:tcBorders>
              <w:top w:val="nil"/>
              <w:bottom w:val="nil"/>
            </w:tcBorders>
          </w:tcPr>
          <w:p w14:paraId="5A883D6C" w14:textId="77777777" w:rsidR="00544623" w:rsidRPr="00544623" w:rsidRDefault="00544623">
            <w:pPr>
              <w:spacing w:after="0" w:line="240" w:lineRule="auto"/>
              <w:rPr>
                <w:rFonts w:eastAsia="Times New Roman" w:cs="Arial"/>
                <w:bCs/>
                <w:color w:val="000000"/>
              </w:rPr>
            </w:pPr>
            <w:r w:rsidRPr="00544623">
              <w:rPr>
                <w:rFonts w:eastAsia="Times New Roman" w:cs="Arial"/>
                <w:bCs/>
                <w:color w:val="000000"/>
              </w:rPr>
              <w:t>2</w:t>
            </w:r>
          </w:p>
        </w:tc>
      </w:tr>
      <w:tr w:rsidR="00544623" w:rsidRPr="00544623" w14:paraId="6F57B01C" w14:textId="77777777" w:rsidTr="00544623">
        <w:trPr>
          <w:trHeight w:val="254"/>
        </w:trPr>
        <w:tc>
          <w:tcPr>
            <w:tcW w:w="4820" w:type="dxa"/>
            <w:tcBorders>
              <w:top w:val="nil"/>
              <w:bottom w:val="nil"/>
            </w:tcBorders>
          </w:tcPr>
          <w:p w14:paraId="72D5BED8" w14:textId="77777777" w:rsidR="00544623" w:rsidRPr="00544623" w:rsidRDefault="00544623">
            <w:pPr>
              <w:spacing w:after="0" w:line="240" w:lineRule="auto"/>
              <w:ind w:left="33"/>
              <w:rPr>
                <w:bCs/>
              </w:rPr>
            </w:pPr>
            <w:r w:rsidRPr="00544623">
              <w:rPr>
                <w:bCs/>
              </w:rPr>
              <w:t xml:space="preserve">Správní </w:t>
            </w:r>
            <w:proofErr w:type="gramStart"/>
            <w:r w:rsidRPr="00544623">
              <w:rPr>
                <w:bCs/>
              </w:rPr>
              <w:t>právo - stavební</w:t>
            </w:r>
            <w:proofErr w:type="gramEnd"/>
            <w:r w:rsidRPr="00544623">
              <w:rPr>
                <w:bCs/>
              </w:rPr>
              <w:t xml:space="preserve"> právo</w:t>
            </w:r>
          </w:p>
        </w:tc>
        <w:tc>
          <w:tcPr>
            <w:tcW w:w="3945" w:type="dxa"/>
            <w:tcBorders>
              <w:top w:val="nil"/>
              <w:bottom w:val="nil"/>
            </w:tcBorders>
          </w:tcPr>
          <w:p w14:paraId="0D07626D" w14:textId="77777777" w:rsidR="00544623" w:rsidRPr="00544623" w:rsidRDefault="00544623">
            <w:pPr>
              <w:spacing w:after="0" w:line="240" w:lineRule="auto"/>
              <w:rPr>
                <w:rFonts w:eastAsia="Times New Roman" w:cs="Arial"/>
                <w:bCs/>
                <w:color w:val="000000"/>
              </w:rPr>
            </w:pPr>
            <w:r w:rsidRPr="00544623">
              <w:rPr>
                <w:rFonts w:eastAsia="Times New Roman" w:cs="Arial"/>
                <w:bCs/>
                <w:color w:val="000000"/>
              </w:rPr>
              <w:t>2</w:t>
            </w:r>
          </w:p>
        </w:tc>
      </w:tr>
      <w:tr w:rsidR="00544623" w:rsidRPr="00544623" w14:paraId="04D1C642" w14:textId="77777777" w:rsidTr="00544623">
        <w:trPr>
          <w:trHeight w:val="254"/>
        </w:trPr>
        <w:tc>
          <w:tcPr>
            <w:tcW w:w="4820" w:type="dxa"/>
            <w:tcBorders>
              <w:top w:val="nil"/>
              <w:bottom w:val="nil"/>
            </w:tcBorders>
          </w:tcPr>
          <w:p w14:paraId="120C0B13" w14:textId="77777777" w:rsidR="00544623" w:rsidRPr="00544623" w:rsidRDefault="00544623">
            <w:pPr>
              <w:spacing w:after="0" w:line="240" w:lineRule="auto"/>
              <w:ind w:left="33"/>
              <w:rPr>
                <w:bCs/>
              </w:rPr>
            </w:pPr>
            <w:r w:rsidRPr="00544623">
              <w:rPr>
                <w:bCs/>
              </w:rPr>
              <w:t xml:space="preserve">Správní </w:t>
            </w:r>
            <w:proofErr w:type="gramStart"/>
            <w:r w:rsidRPr="00544623">
              <w:rPr>
                <w:bCs/>
              </w:rPr>
              <w:t>právo - zvláštní</w:t>
            </w:r>
            <w:proofErr w:type="gramEnd"/>
            <w:r w:rsidRPr="00544623">
              <w:rPr>
                <w:bCs/>
              </w:rPr>
              <w:t xml:space="preserve"> předpisy</w:t>
            </w:r>
          </w:p>
        </w:tc>
        <w:tc>
          <w:tcPr>
            <w:tcW w:w="3945" w:type="dxa"/>
            <w:tcBorders>
              <w:top w:val="nil"/>
              <w:bottom w:val="nil"/>
            </w:tcBorders>
          </w:tcPr>
          <w:p w14:paraId="731196C4" w14:textId="77777777" w:rsidR="00544623" w:rsidRPr="00544623" w:rsidRDefault="00544623">
            <w:pPr>
              <w:spacing w:after="0" w:line="240" w:lineRule="auto"/>
              <w:rPr>
                <w:rFonts w:eastAsia="Times New Roman" w:cs="Arial"/>
                <w:bCs/>
                <w:color w:val="000000"/>
              </w:rPr>
            </w:pPr>
            <w:r w:rsidRPr="00544623">
              <w:rPr>
                <w:rFonts w:eastAsia="Times New Roman" w:cs="Arial"/>
                <w:bCs/>
                <w:color w:val="000000"/>
              </w:rPr>
              <w:t>2</w:t>
            </w:r>
          </w:p>
        </w:tc>
      </w:tr>
      <w:bookmarkEnd w:id="14"/>
    </w:tbl>
    <w:p w14:paraId="7EAF7890" w14:textId="77777777" w:rsidR="007B2A46" w:rsidRDefault="007B2A46" w:rsidP="007B2A46">
      <w:pPr>
        <w:rPr>
          <w:color w:val="E36C0A"/>
        </w:rPr>
      </w:pPr>
    </w:p>
    <w:p w14:paraId="2CB11B0F" w14:textId="77777777" w:rsidR="007B2A46" w:rsidRDefault="007B2A46" w:rsidP="007B2A46">
      <w:pPr>
        <w:ind w:left="709" w:right="260"/>
        <w:jc w:val="both"/>
        <w:rPr>
          <w:rFonts w:cs="Arial"/>
        </w:rPr>
      </w:pPr>
      <w:r>
        <w:rPr>
          <w:rFonts w:cs="Arial"/>
        </w:rPr>
        <w:t>Užívající osoby jsou součástí společnosti uživatele viz bod 3.2. VOP.</w:t>
      </w:r>
    </w:p>
    <w:p w14:paraId="2167D3E9" w14:textId="77777777" w:rsidR="007B2A46" w:rsidRDefault="007B2A46" w:rsidP="007B2A46">
      <w:pPr>
        <w:pStyle w:val="ListParagraph"/>
        <w:numPr>
          <w:ilvl w:val="0"/>
          <w:numId w:val="12"/>
        </w:numPr>
        <w:spacing w:before="100" w:beforeAutospacing="1" w:after="100" w:afterAutospacing="1" w:line="240" w:lineRule="auto"/>
        <w:ind w:left="709" w:right="-24" w:hanging="425"/>
        <w:jc w:val="both"/>
        <w:rPr>
          <w:rFonts w:cs="Arial"/>
          <w:b/>
        </w:rPr>
      </w:pPr>
      <w:r>
        <w:rPr>
          <w:rFonts w:cs="Arial"/>
          <w:b/>
        </w:rPr>
        <w:t>Předplatné období a odměna</w:t>
      </w:r>
    </w:p>
    <w:p w14:paraId="273953BC" w14:textId="492E1CDE" w:rsidR="007B2A46" w:rsidRDefault="007B2A46" w:rsidP="007B2A46">
      <w:pPr>
        <w:pStyle w:val="ListParagraph"/>
        <w:spacing w:before="120" w:after="0" w:line="240" w:lineRule="auto"/>
        <w:ind w:left="709" w:right="260"/>
        <w:jc w:val="both"/>
        <w:rPr>
          <w:rFonts w:cs="Arial"/>
        </w:rPr>
      </w:pPr>
      <w:r>
        <w:rPr>
          <w:rFonts w:cs="Arial"/>
        </w:rPr>
        <w:t xml:space="preserve">Odměna je sjednána vždy pro období dvanácti po sobě jdoucích kalendářních měsíců (dále jen </w:t>
      </w:r>
      <w:r>
        <w:rPr>
          <w:rFonts w:cs="Arial"/>
          <w:b/>
        </w:rPr>
        <w:t>„období“</w:t>
      </w:r>
      <w:r>
        <w:rPr>
          <w:rFonts w:cs="Arial"/>
        </w:rPr>
        <w:t xml:space="preserve">). První období se sjednává </w:t>
      </w:r>
      <w:r w:rsidR="00477751">
        <w:rPr>
          <w:rFonts w:cs="Arial"/>
        </w:rPr>
        <w:t>od nabytí platnosti smlouvy do 31.12. 2021, další období pak na dobu příslušného kalendářního roku.</w:t>
      </w:r>
      <w:r w:rsidR="00477751" w:rsidDel="00477751">
        <w:rPr>
          <w:rFonts w:cs="Arial"/>
        </w:rPr>
        <w:t xml:space="preserve"> </w:t>
      </w:r>
      <w:bookmarkStart w:id="16" w:name="datum_od"/>
      <w:bookmarkStart w:id="17" w:name="datum_do"/>
      <w:bookmarkEnd w:id="16"/>
      <w:bookmarkEnd w:id="17"/>
    </w:p>
    <w:p w14:paraId="5D4E0EB7" w14:textId="6786E365" w:rsidR="007B2A46" w:rsidRDefault="007B2A46" w:rsidP="007B2A46">
      <w:pPr>
        <w:pStyle w:val="ListParagraph"/>
        <w:spacing w:before="120" w:after="0" w:line="240" w:lineRule="auto"/>
        <w:ind w:left="709" w:right="260"/>
        <w:jc w:val="both"/>
        <w:rPr>
          <w:rFonts w:cs="Arial"/>
        </w:rPr>
      </w:pPr>
      <w:r>
        <w:rPr>
          <w:rFonts w:cs="Arial"/>
        </w:rPr>
        <w:t xml:space="preserve">Odměna za </w:t>
      </w:r>
      <w:r w:rsidR="00477751">
        <w:rPr>
          <w:rFonts w:cs="Arial"/>
        </w:rPr>
        <w:t>období jednoho kalendářního roku</w:t>
      </w:r>
      <w:r>
        <w:rPr>
          <w:rFonts w:cs="Arial"/>
        </w:rPr>
        <w:t xml:space="preserve"> činí</w:t>
      </w:r>
      <w:r>
        <w:rPr>
          <w:rFonts w:cs="Arial"/>
          <w:b/>
        </w:rPr>
        <w:t xml:space="preserve"> </w:t>
      </w:r>
      <w:bookmarkStart w:id="18" w:name="cena"/>
      <w:bookmarkEnd w:id="18"/>
      <w:r w:rsidR="009730C1">
        <w:rPr>
          <w:rFonts w:cs="Arial"/>
          <w:b/>
        </w:rPr>
        <w:t>55 100</w:t>
      </w:r>
      <w:r>
        <w:rPr>
          <w:rFonts w:cs="Arial"/>
          <w:b/>
        </w:rPr>
        <w:t xml:space="preserve"> Kč bez DPH</w:t>
      </w:r>
      <w:r>
        <w:rPr>
          <w:rFonts w:cs="Arial"/>
        </w:rPr>
        <w:t xml:space="preserve">. </w:t>
      </w:r>
      <w:r w:rsidR="00477751">
        <w:rPr>
          <w:rFonts w:cs="Arial"/>
        </w:rPr>
        <w:t xml:space="preserve">Odměna za první období bude vypočítána poměrnou částkou od data nabytí platnosti smlouvy. </w:t>
      </w:r>
      <w:r>
        <w:rPr>
          <w:rFonts w:cs="Arial"/>
        </w:rPr>
        <w:t xml:space="preserve">Uživatel se zavazuje zároveň s odměnou uhradit DPH v zákonné výši. </w:t>
      </w:r>
      <w:r w:rsidR="005106EF">
        <w:rPr>
          <w:rFonts w:cs="Arial"/>
        </w:rPr>
        <w:t xml:space="preserve"> </w:t>
      </w:r>
    </w:p>
    <w:p w14:paraId="08DFA144" w14:textId="0ED33AB1" w:rsidR="006533C9" w:rsidRPr="00451237" w:rsidRDefault="006533C9" w:rsidP="005106EF">
      <w:pPr>
        <w:spacing w:after="120" w:line="240" w:lineRule="auto"/>
        <w:jc w:val="both"/>
        <w:rPr>
          <w:rFonts w:asciiTheme="minorHAnsi" w:eastAsia="Arial" w:hAnsiTheme="minorHAnsi" w:cstheme="minorHAnsi"/>
        </w:rPr>
      </w:pPr>
    </w:p>
    <w:p w14:paraId="7CAA6B55" w14:textId="77777777" w:rsidR="006533C9" w:rsidRDefault="006533C9" w:rsidP="007B2A46">
      <w:pPr>
        <w:pStyle w:val="ListParagraph"/>
        <w:spacing w:before="120" w:after="0" w:line="240" w:lineRule="auto"/>
        <w:ind w:left="709" w:right="260"/>
        <w:jc w:val="both"/>
        <w:rPr>
          <w:rFonts w:cs="Arial"/>
        </w:rPr>
      </w:pPr>
    </w:p>
    <w:p w14:paraId="16975DE5" w14:textId="77777777" w:rsidR="004079FF" w:rsidRPr="00EF3CDF" w:rsidRDefault="004079FF" w:rsidP="00287C53">
      <w:pPr>
        <w:spacing w:after="0" w:line="240" w:lineRule="auto"/>
        <w:ind w:right="260"/>
        <w:jc w:val="both"/>
        <w:rPr>
          <w:rFonts w:cs="Arial"/>
        </w:rPr>
      </w:pPr>
    </w:p>
    <w:sectPr w:rsidR="004079FF" w:rsidRPr="00EF3CDF" w:rsidSect="00AE0052">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A830F" w14:textId="77777777" w:rsidR="002E5D4E" w:rsidRDefault="002E5D4E" w:rsidP="00547186">
      <w:pPr>
        <w:spacing w:after="0" w:line="240" w:lineRule="auto"/>
      </w:pPr>
      <w:r>
        <w:separator/>
      </w:r>
    </w:p>
  </w:endnote>
  <w:endnote w:type="continuationSeparator" w:id="0">
    <w:p w14:paraId="7F8CA17E" w14:textId="77777777" w:rsidR="002E5D4E" w:rsidRDefault="002E5D4E" w:rsidP="00547186">
      <w:pPr>
        <w:spacing w:after="0" w:line="240" w:lineRule="auto"/>
      </w:pPr>
      <w:r>
        <w:continuationSeparator/>
      </w:r>
    </w:p>
  </w:endnote>
  <w:endnote w:type="continuationNotice" w:id="1">
    <w:p w14:paraId="46078A80" w14:textId="77777777" w:rsidR="002E5D4E" w:rsidRDefault="002E5D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0271" w14:textId="77777777" w:rsidR="00BC421B" w:rsidRDefault="00BC4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9C0F" w14:textId="77777777" w:rsidR="00690122" w:rsidRDefault="00690122" w:rsidP="00CA2C61">
    <w:pPr>
      <w:pStyle w:val="Footer"/>
      <w:tabs>
        <w:tab w:val="clear" w:pos="9072"/>
        <w:tab w:val="right" w:pos="10065"/>
      </w:tabs>
      <w:ind w:left="426" w:right="401"/>
      <w:rPr>
        <w:rFonts w:ascii="Arial" w:hAnsi="Arial" w:cs="Arial"/>
        <w:sz w:val="18"/>
        <w:szCs w:val="18"/>
      </w:rPr>
    </w:pPr>
  </w:p>
  <w:p w14:paraId="4068DC97" w14:textId="77777777" w:rsidR="007433D6" w:rsidRPr="008B63D9" w:rsidRDefault="008B63D9" w:rsidP="008B63D9">
    <w:pPr>
      <w:pStyle w:val="Footer"/>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B03D6D">
      <w:rPr>
        <w:rFonts w:ascii="Arial" w:hAnsi="Arial" w:cs="Arial"/>
        <w:b/>
        <w:bCs/>
        <w:noProof/>
        <w:sz w:val="18"/>
        <w:szCs w:val="18"/>
      </w:rPr>
      <w:t>3</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B03D6D">
      <w:rPr>
        <w:rFonts w:ascii="Arial" w:hAnsi="Arial" w:cs="Arial"/>
        <w:b/>
        <w:bCs/>
        <w:noProof/>
        <w:sz w:val="18"/>
        <w:szCs w:val="18"/>
      </w:rPr>
      <w:t>3</w:t>
    </w:r>
    <w:r>
      <w:rPr>
        <w:rFonts w:ascii="Arial" w:hAnsi="Arial"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3A6A" w14:textId="77777777" w:rsidR="00BC421B" w:rsidRDefault="00BC4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6814" w14:textId="77777777" w:rsidR="002E5D4E" w:rsidRDefault="002E5D4E" w:rsidP="00547186">
      <w:pPr>
        <w:spacing w:after="0" w:line="240" w:lineRule="auto"/>
      </w:pPr>
      <w:r>
        <w:separator/>
      </w:r>
    </w:p>
  </w:footnote>
  <w:footnote w:type="continuationSeparator" w:id="0">
    <w:p w14:paraId="4C64AB59" w14:textId="77777777" w:rsidR="002E5D4E" w:rsidRDefault="002E5D4E" w:rsidP="00547186">
      <w:pPr>
        <w:spacing w:after="0" w:line="240" w:lineRule="auto"/>
      </w:pPr>
      <w:r>
        <w:continuationSeparator/>
      </w:r>
    </w:p>
  </w:footnote>
  <w:footnote w:type="continuationNotice" w:id="1">
    <w:p w14:paraId="3B6A20DA" w14:textId="77777777" w:rsidR="002E5D4E" w:rsidRDefault="002E5D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4673" w14:textId="77777777" w:rsidR="00BC421B" w:rsidRDefault="00BC4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7667" w14:textId="77777777" w:rsidR="007E3026" w:rsidRDefault="00075B98" w:rsidP="007E3026">
    <w:pPr>
      <w:pStyle w:val="Footer"/>
      <w:tabs>
        <w:tab w:val="clear" w:pos="9072"/>
        <w:tab w:val="left" w:pos="1680"/>
        <w:tab w:val="right" w:pos="10206"/>
      </w:tabs>
      <w:ind w:left="284" w:right="119"/>
      <w:rPr>
        <w:rFonts w:ascii="Calibri Light" w:hAnsi="Calibri Light" w:cs="Calibri Light"/>
      </w:rPr>
    </w:pPr>
    <w:r>
      <w:rPr>
        <w:noProof/>
        <w:lang w:eastAsia="cs-CZ"/>
      </w:rPr>
      <mc:AlternateContent>
        <mc:Choice Requires="wps">
          <w:drawing>
            <wp:anchor distT="4294967295" distB="4294967295" distL="114300" distR="114300" simplePos="0" relativeHeight="251657728" behindDoc="0" locked="0" layoutInCell="1" allowOverlap="1" wp14:anchorId="7BFA7316" wp14:editId="521E01A9">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3EAD12"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" strokecolor="windowText" strokeweight=".5pt">
              <v:stroke joinstyle="miter"/>
              <o:lock v:ext="edit" shapetype="f"/>
            </v:line>
          </w:pict>
        </mc:Fallback>
      </mc:AlternateContent>
    </w:r>
    <w:r w:rsidR="001A0561">
      <w:rPr>
        <w:rFonts w:ascii="Calibri Light" w:hAnsi="Calibri Light" w:cs="Calibri Light"/>
      </w:rPr>
      <w:t>SMLOUVA</w:t>
    </w:r>
    <w:r w:rsidR="007E3026">
      <w:rPr>
        <w:rFonts w:ascii="Calibri Light" w:hAnsi="Calibri Light" w:cs="Calibri Light"/>
      </w:rPr>
      <w:t xml:space="preserve"> O UŽÍVÁNÍ PRÁVNÍHO INFORMAČNÍHO SYSTÉMU BECK-ONLINE Č.</w:t>
    </w:r>
    <w:r w:rsidR="007E3026">
      <w:rPr>
        <w:rFonts w:ascii="Calibri Light" w:hAnsi="Calibri Light" w:cs="Calibri Light"/>
      </w:rPr>
      <w:tab/>
    </w:r>
    <w:bookmarkStart w:id="19" w:name="nazev_dokladu"/>
    <w:bookmarkEnd w:id="19"/>
    <w:r w:rsidR="009730C1">
      <w:rPr>
        <w:rFonts w:ascii="Calibri Light" w:hAnsi="Calibri Light" w:cs="Calibri Light"/>
      </w:rPr>
      <w:t>SML_113111</w:t>
    </w:r>
    <w:r w:rsidR="007E3026">
      <w:rPr>
        <w:rFonts w:ascii="Calibri Light" w:hAnsi="Calibri Light" w:cs="Calibri Light"/>
      </w:rPr>
      <w:t>_</w:t>
    </w:r>
    <w:bookmarkStart w:id="20" w:name="smlouva_od"/>
    <w:bookmarkEnd w:id="20"/>
    <w:r w:rsidR="009730C1">
      <w:rPr>
        <w:rFonts w:ascii="Calibri Light" w:hAnsi="Calibri Light" w:cs="Calibri Light"/>
      </w:rPr>
      <w:t>20211001</w:t>
    </w:r>
  </w:p>
  <w:p w14:paraId="51412143" w14:textId="77777777" w:rsidR="00C961AB" w:rsidRPr="00AB4A05" w:rsidRDefault="00C961AB" w:rsidP="007E3026">
    <w:pPr>
      <w:pStyle w:val="Footer"/>
      <w:tabs>
        <w:tab w:val="clear" w:pos="9072"/>
        <w:tab w:val="left" w:pos="1680"/>
        <w:tab w:val="right" w:pos="10206"/>
      </w:tabs>
      <w:ind w:left="284" w:right="119"/>
      <w:rPr>
        <w:rFonts w:ascii="Calibri Light" w:hAnsi="Calibri Light" w:cs="Calibri Ligh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B9F8"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080E551C" w14:textId="77777777" w:rsidR="00403FD0" w:rsidRDefault="00403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448E4DC4"/>
    <w:multiLevelType w:val="multilevel"/>
    <w:tmpl w:val="19F4FAB0"/>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4"/>
      </w:pPr>
    </w:lvl>
  </w:abstractNum>
  <w:abstractNum w:abstractNumId="6"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9"/>
  </w:num>
  <w:num w:numId="6">
    <w:abstractNumId w:val="8"/>
  </w:num>
  <w:num w:numId="7">
    <w:abstractNumId w:val="0"/>
  </w:num>
  <w:num w:numId="8">
    <w:abstractNumId w:val="7"/>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5F"/>
    <w:rsid w:val="0000145D"/>
    <w:rsid w:val="0000655B"/>
    <w:rsid w:val="00006844"/>
    <w:rsid w:val="00007809"/>
    <w:rsid w:val="000261F0"/>
    <w:rsid w:val="00044E55"/>
    <w:rsid w:val="0005315B"/>
    <w:rsid w:val="00060CE1"/>
    <w:rsid w:val="000646EE"/>
    <w:rsid w:val="00073CC1"/>
    <w:rsid w:val="0007402A"/>
    <w:rsid w:val="00075B98"/>
    <w:rsid w:val="00083006"/>
    <w:rsid w:val="0008358C"/>
    <w:rsid w:val="00087C1D"/>
    <w:rsid w:val="000958FA"/>
    <w:rsid w:val="000A32D4"/>
    <w:rsid w:val="000B4B4F"/>
    <w:rsid w:val="000E1505"/>
    <w:rsid w:val="000E3605"/>
    <w:rsid w:val="000F78FE"/>
    <w:rsid w:val="00123ED6"/>
    <w:rsid w:val="0012718F"/>
    <w:rsid w:val="001447FF"/>
    <w:rsid w:val="00165A38"/>
    <w:rsid w:val="00185244"/>
    <w:rsid w:val="001A0561"/>
    <w:rsid w:val="001A5FC9"/>
    <w:rsid w:val="001B6172"/>
    <w:rsid w:val="001C2E48"/>
    <w:rsid w:val="001D4173"/>
    <w:rsid w:val="001D4692"/>
    <w:rsid w:val="001D75FC"/>
    <w:rsid w:val="00225323"/>
    <w:rsid w:val="002323F5"/>
    <w:rsid w:val="002364D6"/>
    <w:rsid w:val="0024353C"/>
    <w:rsid w:val="002537C0"/>
    <w:rsid w:val="0026351B"/>
    <w:rsid w:val="002671D7"/>
    <w:rsid w:val="00273172"/>
    <w:rsid w:val="00285F70"/>
    <w:rsid w:val="00287C53"/>
    <w:rsid w:val="002A047B"/>
    <w:rsid w:val="002A684C"/>
    <w:rsid w:val="002B3739"/>
    <w:rsid w:val="002B75C2"/>
    <w:rsid w:val="002D1CD4"/>
    <w:rsid w:val="002D228E"/>
    <w:rsid w:val="002D4D1C"/>
    <w:rsid w:val="002E5D4E"/>
    <w:rsid w:val="002E5EF0"/>
    <w:rsid w:val="002F7BFF"/>
    <w:rsid w:val="003058D5"/>
    <w:rsid w:val="00306653"/>
    <w:rsid w:val="00316444"/>
    <w:rsid w:val="00332D37"/>
    <w:rsid w:val="00337725"/>
    <w:rsid w:val="00337809"/>
    <w:rsid w:val="003404A2"/>
    <w:rsid w:val="00385314"/>
    <w:rsid w:val="00393A26"/>
    <w:rsid w:val="003A045F"/>
    <w:rsid w:val="003A1B08"/>
    <w:rsid w:val="003A22B2"/>
    <w:rsid w:val="003B2487"/>
    <w:rsid w:val="003D16F5"/>
    <w:rsid w:val="003E174B"/>
    <w:rsid w:val="003E3404"/>
    <w:rsid w:val="003F374E"/>
    <w:rsid w:val="004028E8"/>
    <w:rsid w:val="00403FD0"/>
    <w:rsid w:val="004079FF"/>
    <w:rsid w:val="00412796"/>
    <w:rsid w:val="00416EDE"/>
    <w:rsid w:val="00427C71"/>
    <w:rsid w:val="00432847"/>
    <w:rsid w:val="00433AAA"/>
    <w:rsid w:val="00440395"/>
    <w:rsid w:val="00441449"/>
    <w:rsid w:val="00446DE6"/>
    <w:rsid w:val="00447B09"/>
    <w:rsid w:val="0045695C"/>
    <w:rsid w:val="004655B7"/>
    <w:rsid w:val="00465810"/>
    <w:rsid w:val="00470B4F"/>
    <w:rsid w:val="004731C5"/>
    <w:rsid w:val="0047614D"/>
    <w:rsid w:val="00477751"/>
    <w:rsid w:val="004A73FE"/>
    <w:rsid w:val="004B1AE6"/>
    <w:rsid w:val="004C303D"/>
    <w:rsid w:val="004E1CB3"/>
    <w:rsid w:val="004E6303"/>
    <w:rsid w:val="004E6A28"/>
    <w:rsid w:val="004F17D0"/>
    <w:rsid w:val="0050167E"/>
    <w:rsid w:val="00503A13"/>
    <w:rsid w:val="00503E20"/>
    <w:rsid w:val="00507C86"/>
    <w:rsid w:val="005106EF"/>
    <w:rsid w:val="00511E65"/>
    <w:rsid w:val="005210EA"/>
    <w:rsid w:val="005233DA"/>
    <w:rsid w:val="00530C85"/>
    <w:rsid w:val="00531CD5"/>
    <w:rsid w:val="00537A77"/>
    <w:rsid w:val="005422FB"/>
    <w:rsid w:val="00543C55"/>
    <w:rsid w:val="00543C9C"/>
    <w:rsid w:val="00544623"/>
    <w:rsid w:val="00547186"/>
    <w:rsid w:val="00547F43"/>
    <w:rsid w:val="00552460"/>
    <w:rsid w:val="00561F00"/>
    <w:rsid w:val="0056217F"/>
    <w:rsid w:val="00565FD1"/>
    <w:rsid w:val="00567F36"/>
    <w:rsid w:val="005823F8"/>
    <w:rsid w:val="005833B4"/>
    <w:rsid w:val="00591859"/>
    <w:rsid w:val="005A46FA"/>
    <w:rsid w:val="005A7E99"/>
    <w:rsid w:val="005B0FD1"/>
    <w:rsid w:val="005B23B1"/>
    <w:rsid w:val="005C5FDE"/>
    <w:rsid w:val="005C78D3"/>
    <w:rsid w:val="005D4DF6"/>
    <w:rsid w:val="005D6E1D"/>
    <w:rsid w:val="005E0650"/>
    <w:rsid w:val="005E15A9"/>
    <w:rsid w:val="005F75F1"/>
    <w:rsid w:val="00620707"/>
    <w:rsid w:val="00622111"/>
    <w:rsid w:val="006235BA"/>
    <w:rsid w:val="00650429"/>
    <w:rsid w:val="006533C9"/>
    <w:rsid w:val="00654712"/>
    <w:rsid w:val="006576F0"/>
    <w:rsid w:val="00665C3B"/>
    <w:rsid w:val="00665C84"/>
    <w:rsid w:val="00670E60"/>
    <w:rsid w:val="0067317B"/>
    <w:rsid w:val="0068609C"/>
    <w:rsid w:val="00690122"/>
    <w:rsid w:val="006952EE"/>
    <w:rsid w:val="006A183E"/>
    <w:rsid w:val="006B19E0"/>
    <w:rsid w:val="006C42F3"/>
    <w:rsid w:val="006C58B8"/>
    <w:rsid w:val="006D2859"/>
    <w:rsid w:val="006D7CFA"/>
    <w:rsid w:val="006E0E24"/>
    <w:rsid w:val="00714B39"/>
    <w:rsid w:val="0072498A"/>
    <w:rsid w:val="00737ABB"/>
    <w:rsid w:val="00742211"/>
    <w:rsid w:val="007433D6"/>
    <w:rsid w:val="00745ED1"/>
    <w:rsid w:val="0074621D"/>
    <w:rsid w:val="00761CD7"/>
    <w:rsid w:val="007703A4"/>
    <w:rsid w:val="00770D15"/>
    <w:rsid w:val="00787846"/>
    <w:rsid w:val="007B2A46"/>
    <w:rsid w:val="007C75B2"/>
    <w:rsid w:val="007D4A0D"/>
    <w:rsid w:val="007D7166"/>
    <w:rsid w:val="007D7839"/>
    <w:rsid w:val="007E3026"/>
    <w:rsid w:val="007E61F8"/>
    <w:rsid w:val="007E6F3D"/>
    <w:rsid w:val="007F0AF8"/>
    <w:rsid w:val="007F5863"/>
    <w:rsid w:val="00804105"/>
    <w:rsid w:val="00804998"/>
    <w:rsid w:val="008109B4"/>
    <w:rsid w:val="00811DE1"/>
    <w:rsid w:val="00812F5E"/>
    <w:rsid w:val="00822301"/>
    <w:rsid w:val="0082259C"/>
    <w:rsid w:val="00842E9B"/>
    <w:rsid w:val="00843332"/>
    <w:rsid w:val="008452EE"/>
    <w:rsid w:val="00850616"/>
    <w:rsid w:val="00850834"/>
    <w:rsid w:val="008607AE"/>
    <w:rsid w:val="0086100B"/>
    <w:rsid w:val="00863293"/>
    <w:rsid w:val="00865718"/>
    <w:rsid w:val="00870341"/>
    <w:rsid w:val="00877B9C"/>
    <w:rsid w:val="00890700"/>
    <w:rsid w:val="00892E12"/>
    <w:rsid w:val="00893F43"/>
    <w:rsid w:val="008949E6"/>
    <w:rsid w:val="008A4DD4"/>
    <w:rsid w:val="008A77E9"/>
    <w:rsid w:val="008B1A35"/>
    <w:rsid w:val="008B5365"/>
    <w:rsid w:val="008B5C8E"/>
    <w:rsid w:val="008B63D9"/>
    <w:rsid w:val="008C0362"/>
    <w:rsid w:val="008C436E"/>
    <w:rsid w:val="008E6381"/>
    <w:rsid w:val="008F467C"/>
    <w:rsid w:val="008F6C81"/>
    <w:rsid w:val="009029C5"/>
    <w:rsid w:val="00906DF0"/>
    <w:rsid w:val="00911035"/>
    <w:rsid w:val="00924B06"/>
    <w:rsid w:val="009344E2"/>
    <w:rsid w:val="00934D79"/>
    <w:rsid w:val="00960A36"/>
    <w:rsid w:val="00967AF0"/>
    <w:rsid w:val="00972DB0"/>
    <w:rsid w:val="009730C1"/>
    <w:rsid w:val="00974B34"/>
    <w:rsid w:val="00993292"/>
    <w:rsid w:val="0099383E"/>
    <w:rsid w:val="009B1ECD"/>
    <w:rsid w:val="009B7175"/>
    <w:rsid w:val="009C276F"/>
    <w:rsid w:val="009D37E0"/>
    <w:rsid w:val="009F5AB5"/>
    <w:rsid w:val="009F7FF9"/>
    <w:rsid w:val="00A007AF"/>
    <w:rsid w:val="00A06019"/>
    <w:rsid w:val="00A14088"/>
    <w:rsid w:val="00A24116"/>
    <w:rsid w:val="00A345BE"/>
    <w:rsid w:val="00A35C01"/>
    <w:rsid w:val="00A450EA"/>
    <w:rsid w:val="00A47FC6"/>
    <w:rsid w:val="00A51E0C"/>
    <w:rsid w:val="00A53ED8"/>
    <w:rsid w:val="00A60587"/>
    <w:rsid w:val="00A73906"/>
    <w:rsid w:val="00A8349D"/>
    <w:rsid w:val="00A84F96"/>
    <w:rsid w:val="00A90E77"/>
    <w:rsid w:val="00A928C1"/>
    <w:rsid w:val="00A94ACE"/>
    <w:rsid w:val="00A97152"/>
    <w:rsid w:val="00AA05A6"/>
    <w:rsid w:val="00AA0EAF"/>
    <w:rsid w:val="00AA0FE3"/>
    <w:rsid w:val="00AA21C5"/>
    <w:rsid w:val="00AA5CD9"/>
    <w:rsid w:val="00AB4A05"/>
    <w:rsid w:val="00AC233F"/>
    <w:rsid w:val="00AC5359"/>
    <w:rsid w:val="00AC742A"/>
    <w:rsid w:val="00AE0052"/>
    <w:rsid w:val="00AF255F"/>
    <w:rsid w:val="00AF6F21"/>
    <w:rsid w:val="00B015EA"/>
    <w:rsid w:val="00B03D6D"/>
    <w:rsid w:val="00B23259"/>
    <w:rsid w:val="00B3296D"/>
    <w:rsid w:val="00B41495"/>
    <w:rsid w:val="00B61FB2"/>
    <w:rsid w:val="00B67BA6"/>
    <w:rsid w:val="00B877BC"/>
    <w:rsid w:val="00B90234"/>
    <w:rsid w:val="00B93171"/>
    <w:rsid w:val="00BA6071"/>
    <w:rsid w:val="00BB4028"/>
    <w:rsid w:val="00BB4510"/>
    <w:rsid w:val="00BC421B"/>
    <w:rsid w:val="00BD6724"/>
    <w:rsid w:val="00BD6D90"/>
    <w:rsid w:val="00BD7DF5"/>
    <w:rsid w:val="00BE2829"/>
    <w:rsid w:val="00BE7B9C"/>
    <w:rsid w:val="00BF2030"/>
    <w:rsid w:val="00BF6B5E"/>
    <w:rsid w:val="00BF7513"/>
    <w:rsid w:val="00C13091"/>
    <w:rsid w:val="00C23EA3"/>
    <w:rsid w:val="00C344C2"/>
    <w:rsid w:val="00C35D51"/>
    <w:rsid w:val="00C41894"/>
    <w:rsid w:val="00C434C4"/>
    <w:rsid w:val="00C602EA"/>
    <w:rsid w:val="00C73B26"/>
    <w:rsid w:val="00C948D7"/>
    <w:rsid w:val="00C961AB"/>
    <w:rsid w:val="00C9638D"/>
    <w:rsid w:val="00CA2C61"/>
    <w:rsid w:val="00CA66FD"/>
    <w:rsid w:val="00CB24DB"/>
    <w:rsid w:val="00CD01AD"/>
    <w:rsid w:val="00CD0709"/>
    <w:rsid w:val="00CF7ABB"/>
    <w:rsid w:val="00D043C5"/>
    <w:rsid w:val="00D101AA"/>
    <w:rsid w:val="00D142FD"/>
    <w:rsid w:val="00D21AA3"/>
    <w:rsid w:val="00D25753"/>
    <w:rsid w:val="00D34D4F"/>
    <w:rsid w:val="00D4323F"/>
    <w:rsid w:val="00D55C0A"/>
    <w:rsid w:val="00D609FA"/>
    <w:rsid w:val="00D6440C"/>
    <w:rsid w:val="00D67A93"/>
    <w:rsid w:val="00D8019B"/>
    <w:rsid w:val="00D80A93"/>
    <w:rsid w:val="00D82BA6"/>
    <w:rsid w:val="00D86ECC"/>
    <w:rsid w:val="00D91793"/>
    <w:rsid w:val="00DA7888"/>
    <w:rsid w:val="00DB24AA"/>
    <w:rsid w:val="00DE3EAA"/>
    <w:rsid w:val="00DE5AAC"/>
    <w:rsid w:val="00DE7823"/>
    <w:rsid w:val="00DF1A06"/>
    <w:rsid w:val="00DF3D27"/>
    <w:rsid w:val="00E02BD2"/>
    <w:rsid w:val="00E1018C"/>
    <w:rsid w:val="00E206BE"/>
    <w:rsid w:val="00E261BD"/>
    <w:rsid w:val="00E268F1"/>
    <w:rsid w:val="00E37433"/>
    <w:rsid w:val="00E37C9E"/>
    <w:rsid w:val="00E40174"/>
    <w:rsid w:val="00E45699"/>
    <w:rsid w:val="00E46964"/>
    <w:rsid w:val="00E535B4"/>
    <w:rsid w:val="00E64B8F"/>
    <w:rsid w:val="00E64E31"/>
    <w:rsid w:val="00E7211B"/>
    <w:rsid w:val="00E816CB"/>
    <w:rsid w:val="00E925FE"/>
    <w:rsid w:val="00EA6936"/>
    <w:rsid w:val="00EB1535"/>
    <w:rsid w:val="00EC1E86"/>
    <w:rsid w:val="00EC592B"/>
    <w:rsid w:val="00EC6759"/>
    <w:rsid w:val="00ED67A5"/>
    <w:rsid w:val="00EE1A1A"/>
    <w:rsid w:val="00EE35FC"/>
    <w:rsid w:val="00EF3CDF"/>
    <w:rsid w:val="00EF45A2"/>
    <w:rsid w:val="00F13846"/>
    <w:rsid w:val="00F278EB"/>
    <w:rsid w:val="00F303E2"/>
    <w:rsid w:val="00F4478D"/>
    <w:rsid w:val="00F45F4D"/>
    <w:rsid w:val="00F46029"/>
    <w:rsid w:val="00F50E7B"/>
    <w:rsid w:val="00F54CFB"/>
    <w:rsid w:val="00F65181"/>
    <w:rsid w:val="00F66B10"/>
    <w:rsid w:val="00F73B6A"/>
    <w:rsid w:val="00F75FDF"/>
    <w:rsid w:val="00F7629B"/>
    <w:rsid w:val="00F83ECA"/>
    <w:rsid w:val="00F86B4D"/>
    <w:rsid w:val="00F9226B"/>
    <w:rsid w:val="00F92C3D"/>
    <w:rsid w:val="00FA1379"/>
    <w:rsid w:val="00FA5ECC"/>
    <w:rsid w:val="00FA7B32"/>
    <w:rsid w:val="00FB52A7"/>
    <w:rsid w:val="00FC2971"/>
    <w:rsid w:val="00FC782E"/>
    <w:rsid w:val="00FD7A9B"/>
    <w:rsid w:val="00FE3D64"/>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19E97"/>
  <w15:chartTrackingRefBased/>
  <w15:docId w15:val="{8932BD80-6732-4C7C-A5F5-3F5C32E5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303"/>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45F"/>
    <w:pPr>
      <w:ind w:left="720"/>
      <w:contextualSpacing/>
    </w:pPr>
  </w:style>
  <w:style w:type="character" w:styleId="Hyperlink">
    <w:name w:val="Hyperlink"/>
    <w:uiPriority w:val="99"/>
    <w:unhideWhenUsed/>
    <w:rsid w:val="003A045F"/>
    <w:rPr>
      <w:color w:val="0563C1"/>
      <w:u w:val="single"/>
    </w:rPr>
  </w:style>
  <w:style w:type="paragraph" w:styleId="Header">
    <w:name w:val="header"/>
    <w:basedOn w:val="Normal"/>
    <w:link w:val="HeaderChar"/>
    <w:uiPriority w:val="99"/>
    <w:unhideWhenUsed/>
    <w:rsid w:val="0054718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7186"/>
  </w:style>
  <w:style w:type="paragraph" w:styleId="Footer">
    <w:name w:val="footer"/>
    <w:basedOn w:val="Normal"/>
    <w:link w:val="FooterChar"/>
    <w:uiPriority w:val="99"/>
    <w:unhideWhenUsed/>
    <w:rsid w:val="005471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7186"/>
  </w:style>
  <w:style w:type="paragraph" w:styleId="BalloonText">
    <w:name w:val="Balloon Text"/>
    <w:basedOn w:val="Normal"/>
    <w:link w:val="BalloonTextChar"/>
    <w:uiPriority w:val="99"/>
    <w:semiHidden/>
    <w:unhideWhenUsed/>
    <w:rsid w:val="00561F0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61F00"/>
    <w:rPr>
      <w:rFonts w:ascii="Segoe UI" w:hAnsi="Segoe UI" w:cs="Segoe UI"/>
      <w:sz w:val="18"/>
      <w:szCs w:val="18"/>
    </w:rPr>
  </w:style>
  <w:style w:type="paragraph" w:customStyle="1" w:styleId="Numm1">
    <w:name w:val="Numm§ 1"/>
    <w:basedOn w:val="Normal"/>
    <w:next w:val="Normal"/>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al"/>
    <w:next w:val="Normal"/>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al"/>
    <w:next w:val="Normal"/>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DefaultParagraphFont"/>
    <w:rsid w:val="00960A36"/>
  </w:style>
  <w:style w:type="character" w:styleId="CommentReference">
    <w:name w:val="annotation reference"/>
    <w:uiPriority w:val="99"/>
    <w:semiHidden/>
    <w:unhideWhenUsed/>
    <w:rsid w:val="004B1AE6"/>
    <w:rPr>
      <w:sz w:val="16"/>
      <w:szCs w:val="16"/>
    </w:rPr>
  </w:style>
  <w:style w:type="paragraph" w:styleId="CommentText">
    <w:name w:val="annotation text"/>
    <w:basedOn w:val="Normal"/>
    <w:link w:val="CommentTextChar"/>
    <w:uiPriority w:val="99"/>
    <w:semiHidden/>
    <w:unhideWhenUsed/>
    <w:rsid w:val="004B1AE6"/>
    <w:pPr>
      <w:spacing w:line="240" w:lineRule="auto"/>
    </w:pPr>
    <w:rPr>
      <w:sz w:val="20"/>
      <w:szCs w:val="20"/>
    </w:rPr>
  </w:style>
  <w:style w:type="character" w:customStyle="1" w:styleId="CommentTextChar">
    <w:name w:val="Comment Text Char"/>
    <w:link w:val="CommentText"/>
    <w:uiPriority w:val="99"/>
    <w:semiHidden/>
    <w:rsid w:val="004B1AE6"/>
    <w:rPr>
      <w:sz w:val="20"/>
      <w:szCs w:val="20"/>
    </w:rPr>
  </w:style>
  <w:style w:type="paragraph" w:styleId="CommentSubject">
    <w:name w:val="annotation subject"/>
    <w:basedOn w:val="CommentText"/>
    <w:next w:val="CommentText"/>
    <w:link w:val="CommentSubjectChar"/>
    <w:uiPriority w:val="99"/>
    <w:semiHidden/>
    <w:unhideWhenUsed/>
    <w:rsid w:val="004B1AE6"/>
    <w:rPr>
      <w:b/>
      <w:bCs/>
    </w:rPr>
  </w:style>
  <w:style w:type="character" w:customStyle="1" w:styleId="CommentSubjectChar">
    <w:name w:val="Comment Subject Char"/>
    <w:link w:val="CommentSubject"/>
    <w:uiPriority w:val="99"/>
    <w:semiHidden/>
    <w:rsid w:val="004B1AE6"/>
    <w:rPr>
      <w:b/>
      <w:bCs/>
      <w:sz w:val="20"/>
      <w:szCs w:val="20"/>
    </w:rPr>
  </w:style>
  <w:style w:type="paragraph" w:styleId="Revision">
    <w:name w:val="Revision"/>
    <w:hidden/>
    <w:uiPriority w:val="99"/>
    <w:semiHidden/>
    <w:rsid w:val="001A5FC9"/>
    <w:rPr>
      <w:sz w:val="22"/>
      <w:szCs w:val="22"/>
      <w:lang w:eastAsia="en-US"/>
    </w:rPr>
  </w:style>
  <w:style w:type="table" w:customStyle="1" w:styleId="NormalTable0">
    <w:name w:val="Normal Table0"/>
    <w:rsid w:val="00EC6759"/>
    <w:pPr>
      <w:spacing w:after="200" w:line="312" w:lineRule="auto"/>
    </w:pPr>
    <w:rPr>
      <w:rFonts w:cs="Calibri"/>
      <w:color w:val="000000"/>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ck-online.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A4B72-8523-4AAD-9B40-F080A5DA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1518</Words>
  <Characters>8659</Characters>
  <Application>Microsoft Office Word</Application>
  <DocSecurity>0</DocSecurity>
  <Lines>72</Lines>
  <Paragraphs>20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Hewlett-Packard</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Staňková</dc:creator>
  <cp:keywords/>
  <cp:lastModifiedBy>Pavel Synek</cp:lastModifiedBy>
  <cp:revision>2</cp:revision>
  <cp:lastPrinted>2018-10-16T12:06:00Z</cp:lastPrinted>
  <dcterms:created xsi:type="dcterms:W3CDTF">2021-12-07T09:17:00Z</dcterms:created>
  <dcterms:modified xsi:type="dcterms:W3CDTF">2021-12-07T09:17:00Z</dcterms:modified>
</cp:coreProperties>
</file>