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DD" w:rsidRPr="00162FDD" w:rsidRDefault="00162FDD" w:rsidP="00162F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SMLOUVA O NÁJMU PROSTORU SLOUŽÍCÍHO PODNIKÁNÍ</w:t>
      </w:r>
      <w:r w:rsidRPr="00162FDD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br/>
        <w:t>(§ 2302 NOZ)</w:t>
      </w:r>
    </w:p>
    <w:p w:rsidR="00304A04" w:rsidRPr="005E05EE" w:rsidRDefault="00162FDD" w:rsidP="00162FDD">
      <w:pPr>
        <w:spacing w:after="0" w:line="240" w:lineRule="auto"/>
        <w:rPr>
          <w:rFonts w:ascii="Arial" w:hAnsi="Arial" w:cs="Arial"/>
          <w:color w:val="000000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hAnsi="Arial" w:cs="Arial"/>
          <w:b/>
          <w:bCs/>
          <w:color w:val="000000"/>
        </w:rPr>
        <w:t>Střední odborná škola obchodu a služeb, Olomouc, Štursova 14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5E05EE">
        <w:rPr>
          <w:rFonts w:ascii="Arial" w:hAnsi="Arial" w:cs="Arial"/>
          <w:color w:val="000000"/>
        </w:rPr>
        <w:t>IČ 00577448</w:t>
      </w:r>
      <w:r w:rsidR="005E05EE" w:rsidRPr="005E05EE">
        <w:rPr>
          <w:rFonts w:ascii="Arial" w:hAnsi="Arial" w:cs="Arial"/>
          <w:color w:val="000000"/>
        </w:rPr>
        <w:br/>
        <w:t>DIČ CZ00577448</w:t>
      </w:r>
      <w:r w:rsidRPr="005E05EE">
        <w:rPr>
          <w:rFonts w:ascii="Arial" w:eastAsia="Times New Roman" w:hAnsi="Arial" w:cs="Arial"/>
          <w:color w:val="000000"/>
          <w:lang w:eastAsia="cs-CZ"/>
        </w:rPr>
        <w:br/>
        <w:t>se sídlem  </w:t>
      </w:r>
      <w:r w:rsidRPr="005E05EE">
        <w:rPr>
          <w:rFonts w:ascii="Arial" w:hAnsi="Arial" w:cs="Arial"/>
          <w:color w:val="000000"/>
        </w:rPr>
        <w:t>Olomouc, Hodolany, Štursova 904/14</w:t>
      </w:r>
    </w:p>
    <w:p w:rsidR="00162FDD" w:rsidRPr="00162FDD" w:rsidRDefault="00304A04" w:rsidP="00162F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E05EE">
        <w:rPr>
          <w:rFonts w:ascii="Arial" w:hAnsi="Arial" w:cs="Arial"/>
          <w:color w:val="000000"/>
        </w:rPr>
        <w:t xml:space="preserve">Zastoupená </w:t>
      </w:r>
      <w:proofErr w:type="spellStart"/>
      <w:proofErr w:type="gramStart"/>
      <w:r w:rsidRPr="005E05EE">
        <w:rPr>
          <w:rFonts w:ascii="Arial" w:hAnsi="Arial" w:cs="Arial"/>
          <w:color w:val="000000"/>
        </w:rPr>
        <w:t>PhDr.Ladislavem</w:t>
      </w:r>
      <w:proofErr w:type="spellEnd"/>
      <w:proofErr w:type="gramEnd"/>
      <w:r w:rsidRPr="005E05EE">
        <w:rPr>
          <w:rFonts w:ascii="Arial" w:hAnsi="Arial" w:cs="Arial"/>
          <w:color w:val="000000"/>
        </w:rPr>
        <w:t xml:space="preserve"> Pochylou,</w:t>
      </w:r>
      <w:r w:rsidR="00753C38">
        <w:rPr>
          <w:rFonts w:ascii="Arial" w:hAnsi="Arial" w:cs="Arial"/>
          <w:color w:val="000000"/>
        </w:rPr>
        <w:t xml:space="preserve"> </w:t>
      </w:r>
      <w:r w:rsidRPr="005E05EE">
        <w:rPr>
          <w:rFonts w:ascii="Arial" w:hAnsi="Arial" w:cs="Arial"/>
          <w:color w:val="000000"/>
        </w:rPr>
        <w:t>ředitelem školy</w:t>
      </w:r>
      <w:bookmarkStart w:id="0" w:name="_GoBack"/>
      <w:bookmarkEnd w:id="0"/>
      <w:r w:rsidR="00162FDD" w:rsidRPr="005E05EE">
        <w:rPr>
          <w:rFonts w:ascii="Arial" w:eastAsia="Times New Roman" w:hAnsi="Arial" w:cs="Arial"/>
          <w:color w:val="000000"/>
          <w:lang w:eastAsia="cs-CZ"/>
        </w:rPr>
        <w:br/>
        <w:t>na straně jedné (dále jen jako „pronajímatel“)</w:t>
      </w:r>
      <w:r w:rsidR="00162FDD"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162FDD"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162FDD"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162FDD"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162FDD" w:rsidRPr="00162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OBALEX DOLEŽEL s.r.o.</w:t>
      </w:r>
      <w:r w:rsidR="00162FDD"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162FDD" w:rsidRPr="005E05EE">
        <w:rPr>
          <w:rFonts w:ascii="Arial" w:eastAsia="Times New Roman" w:hAnsi="Arial" w:cs="Arial"/>
          <w:color w:val="000000"/>
          <w:lang w:eastAsia="cs-CZ"/>
        </w:rPr>
        <w:t>se sídlem nám. T.G. Masaryka 4485/5, 796 01 Prostějov</w:t>
      </w:r>
      <w:r w:rsidR="005E05EE" w:rsidRPr="005E05EE">
        <w:rPr>
          <w:rFonts w:ascii="Arial" w:eastAsia="Times New Roman" w:hAnsi="Arial" w:cs="Arial"/>
          <w:color w:val="000000"/>
          <w:lang w:eastAsia="cs-CZ"/>
        </w:rPr>
        <w:br/>
        <w:t>IČ</w:t>
      </w:r>
      <w:r w:rsidR="00162FDD" w:rsidRPr="005E05EE">
        <w:rPr>
          <w:rFonts w:ascii="Arial" w:eastAsia="Times New Roman" w:hAnsi="Arial" w:cs="Arial"/>
          <w:color w:val="000000"/>
          <w:lang w:eastAsia="cs-CZ"/>
        </w:rPr>
        <w:t xml:space="preserve"> 25533762</w:t>
      </w:r>
      <w:r w:rsidR="005E05EE" w:rsidRPr="005E05EE">
        <w:rPr>
          <w:rFonts w:ascii="Arial" w:eastAsia="Times New Roman" w:hAnsi="Arial" w:cs="Arial"/>
          <w:color w:val="000000"/>
          <w:lang w:eastAsia="cs-CZ"/>
        </w:rPr>
        <w:br/>
      </w:r>
      <w:r w:rsidR="005E05EE" w:rsidRPr="005E05EE">
        <w:rPr>
          <w:rFonts w:ascii="Arial" w:hAnsi="Arial" w:cs="Arial"/>
          <w:color w:val="000000"/>
        </w:rPr>
        <w:t>DIČ CZ 25533762</w:t>
      </w:r>
      <w:r w:rsidR="00162FDD" w:rsidRPr="005E05EE">
        <w:rPr>
          <w:rFonts w:ascii="Arial" w:eastAsia="Times New Roman" w:hAnsi="Arial" w:cs="Arial"/>
          <w:color w:val="000000"/>
          <w:lang w:eastAsia="cs-CZ"/>
        </w:rPr>
        <w:br/>
        <w:t>na straně druhé (dále jen jako „nájemce“)</w:t>
      </w:r>
    </w:p>
    <w:p w:rsidR="00162FDD" w:rsidRPr="00162FDD" w:rsidRDefault="00162FDD" w:rsidP="00162F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uzavřeli níže uvedeného dne, měsíce a roku tuto smlouvu o nájmu prostoru sloužícího podnikání dle </w:t>
      </w:r>
      <w:proofErr w:type="spellStart"/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ust</w:t>
      </w:r>
      <w:proofErr w:type="spellEnd"/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§ 2302 a násl. občanského zákoníku:</w:t>
      </w: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62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Pronajímatel, prohlašuje, že je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oprávněn k pronájmu prostor v rámci 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nemovitosti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p.č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st.1023/1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na adrese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Štursova 94/14, 799 00 Olomouc. </w:t>
      </w:r>
    </w:p>
    <w:p w:rsidR="005E05EE" w:rsidRDefault="005E05EE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Pronajímatel se zavazuje přenechat prostor sloužící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 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podnikání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nájemce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 to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zázemí určené pro cukrářskou výrobu ve výše uvedeném objektu 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 dočasnému užívání nájemci za účelem provozování jeho podnikatelské činnosti v tomto prostoru a nájemce se zavazuje platit za to prona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jímateli níže sjednané nájemné.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Účelem nájmu je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cukrářská výroba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nájemcem v pronajatém prostoru. Nájemce nemá právo v pronajatém prostoru provozovat jinou činnost nebo změnit způsob či podmínky jejího výkonu, než jak to vyplývá z účelu nájmu již výše sjednaného anebo z toho, co bylo možné důvodně očekávat při uzavření smlouvy, pokud by tato změna působila zhoršení poměrů v nemovité věci nebo by nad přiměřenou míru poškozovala pronajímatele nebo ostatní uživatele nemovité věci. To neplatí, pokud se v důsledku změny poměrů na jeho straně jeho činnost v některém ohledu změní jen nepodstatně. (§ 2304) Nájemce může nemovitou věc, kde se nalézá prostor sloužící podnikání, opatřit se souhlasem pronajímatele v přiměřeném rozsahu štíty, návěstími a podobnými znameními; pronajímatel může souhlas odmítn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out, má-li pro to vážný důvod.</w:t>
      </w: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Pronajímatel přenechává předmět nájmu na dobu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neurčitou.</w:t>
      </w:r>
      <w:r w:rsidR="00753C3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2D41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Prostory</w:t>
      </w:r>
      <w:r w:rsidR="00753C3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(42,29 m2)</w:t>
      </w:r>
      <w:r w:rsidR="002D41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budou </w:t>
      </w:r>
      <w:r w:rsidR="00753C3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pronajímány v termínech pondělí</w:t>
      </w:r>
      <w:r w:rsidR="002D41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753C3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2D41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středa pátek,</w:t>
      </w:r>
      <w:r w:rsidR="00753C3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2D41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vždy od 16.00 hod. do 18.00 hod. nebo dle aktuálního požadavku a dohody obou smluvních stran</w:t>
      </w:r>
      <w:r w:rsidR="00AD07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odvisle od počtu nájemních hodin</w:t>
      </w:r>
      <w:r w:rsidR="002D41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62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Výše nájemného byla sjednána v pevné částce </w:t>
      </w:r>
      <w:r w:rsidR="006F5124" w:rsidRP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1600</w:t>
      </w:r>
      <w:r w:rsidRP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,-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 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plus DPH 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(slovy</w:t>
      </w:r>
      <w:r w:rsidR="006F51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jeden tisíc korun českých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za jeden měsíc. Nájemné je nájemce povinen platit předem na každý měsíc nejpozději do 5. (pátého) dne platebního období.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Nájemné zahrnuje všechny související služby související s energiemi, svozem odpadu apod. 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Podrobná kalkulace nájemného je přílohou této smlouvy.</w:t>
      </w:r>
    </w:p>
    <w:p w:rsid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5E05EE" w:rsidRDefault="005E05EE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E05EE" w:rsidRPr="00162FDD" w:rsidRDefault="005E05EE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IV.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5E05EE" w:rsidRP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 na tomto bližším vymezení jejich smluvních práv a povinností.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Pronajímatel je povinen: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- přenechat předmět nájmu nájemci tak, aby ho mohl užívat k 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ujednanému nebo obvyklému účelu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- udržovat předmět nájmu v takovém stavu, aby mohl sloužit k tomu 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užívání, pro </w:t>
      </w:r>
      <w:proofErr w:type="gramStart"/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který</w:t>
      </w:r>
      <w:proofErr w:type="gramEnd"/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byl pronajat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 zajistit nájemci nerušené užívání předmětu nájmu po dobu nájmu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 provádět ostatní údržbu předmětu nájmu a její nezbytné opravy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 sjednat k souboru nemovitostí živelní pojištění a k souboru skel pojištění proti zničení a poškození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 provádět revize vyhrazených technických zařízení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Pronajímatel neodpovídá za vady, o kterých v době uzavření nájemní smlouvy strany věděly a které nebrání užívání věci. Pronajímatel nemá právo během nájmu o své vůli pronajatou 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věc měnit.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Nájemce je povinen: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- užívat věc jako řádný hospodář k účelu sjednanému, případně obvyklému, a 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platit nájemné dle této smlouvy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- provádět běžnou údržbu předmětu nájmu 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 oznámit pronajímateli, že věc má vadu, kterou je povinen odstranit pronajímatel, a to ihned poté, kdy ji zjistí nebo kdy při pečlivém užívání věci zjistit mohl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 ukáže-li se během nájmu potřeba provést nezbytnou opravu věci, kterou nelze odložit na dobu po skončení nájmu, musí ji nájemce strpět, i když mu provedení opravy způsobí obtíže nebo omezí užívání věci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 uplatní-li třetí osoba vlastnické nebo jiné právo k věci nebo žádá-li třetí osoba vydání nebo vyklizení věci, je nájemce povinen to pronajímateli písemně oznámit; požádá-li o to, je pronajímatel povinen mu poskytnout ochranu. Neposkytne-li pronajímatel nájemci dostatečnou ochranu, může nájemce nájem vypovědět bez výpovědní doby. Bude-li nájemce rušen v užívání věci nebo jinak dotčen jednáním třetí osoby, má právo na přiměřenou slevu nájemného, pokud takové jednání třetí osoby pronajímateli včas oznámil.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 oznámí-li to pronajímatel předem v přiměřené době, umožní mu nájemce v nezbytném rozsahu prohlídku věci, jakož i přístup k ní nebo do ní, za účelem provedení potřebné opravy nebo údržby věci. Předchozí oznámení se nevyžaduje, je-li nezbytné zabránit škodě nebo hrozí-li nebezpečí z prodlení. Vzniknou-li nájemci takovou činností pronajímatele obtíže, které nejsou jen nepodstatné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má právo na slevu z nájemného.</w:t>
      </w: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 dodržovat veškeré požární, bezpečností, ekologické, hygienické a další předpisy týkající se provozování předmětu nájmu a hradit případné sankce udělené příslušnými státními a správními orgány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V.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0A5966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Změní-li se vlastník předmětu nájmu, přejdou práva a povinnosti z nájmu na nového vlastníka. Strana nemá právo vypovědět nájem jen proto, že se změnil vlastník věci.</w:t>
      </w: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odevzdání věci je nájemce oprávněn oddělit si a vzít si vše, co do věci vložil nebo na ni vnesl vlastním nákladem, je-li to možné a nezhorší-li se tím podstata věci nebo neztíží-li se tím nepřiměřeně její užívání.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Vypovídaná strana má právo do uplynutí jednoho měsíce ode dne, kdy jí byla výpověď doručena, vznést proti výpovědi námitky v písemné formě. Nevznese-li je včas, právo žádat přezkoumání oprávněnosti výpovědi soudem zanikne. Vznese-li vypovídaná strana námitky včas, ale vypovídající strana do jednoho měsíce ode dne, kdy jí námitky byly doručeny, nevezme svoji výpověď zpět, má vypovídaná strana právo žádat soud o přezkoumání oprávněnosti výpovědi, a to ve lhůtě dvou měsíců ode dne, kdy marně uplynula lhůta pro zpětvzetí výpovědi.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Nájemce je povinen odevzdat předmět nájmu pronajímateli v den, kdy nájem končí. Předmět nájmu je odevzdán, obdrží-li pronajímatel klíče a jinak mu nic nebrání v přístupu do předmětu nájmu a v jeho užívání. Nájemce je povinen odevzdat předmět nájmu ve stavu, v jakém jej převzal, nehledě na běžné opotřebení při běžném užívání a na vady, které je povinen odstranit pronajímatel, a to formou písemného předávacího protokolu. Nájemce je povinen odstranit v předmětu nájmu změny, které provedl se souhlasem pronajímatele, a uvést předmět nájmu do původního stavu. Nájemce je povinen odstranit v předmětu nájmu změny, které provedl bez souhlasu pronajímatele, ledaže pronajímatel nájemci sdělí, že odstranění změn nežádá; nájemce přesto nemůže žádat vyrovnání, i kdyby se změnami h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odnota předmětu nájmu zvýšila.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Zůstane-li v předmětu nájmu věc, o které lze mít za to, že patří nájemci, postará se pronajímatel o věc ve prospěch nájemce a na jeho účet. Nepřevezme-li nájemce tuto věc bez zbytečného odkladu, vzniká pronajímateli právo věc po předchozím upozornění nájemce na jeho účet vhodným způsobem prodat poté, co poskytne dodatečnou přiměřenou lhůtu k převzetí. To neplatí, jedná-li se o věc,</w:t>
      </w:r>
      <w:r w:rsidR="005E05E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kterou nájemce zjevně opustil.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Vyklidí-li nájemce prostor sloužící podnikání v souladu s výpovědí, považuje se výpověď za platnou a přijatou nájemcem bez námitek.</w:t>
      </w:r>
    </w:p>
    <w:p w:rsidR="00162FDD" w:rsidRPr="00162FDD" w:rsidRDefault="005E05EE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162FDD" w:rsidRPr="00162FDD" w:rsidRDefault="000A5966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</w:t>
      </w:r>
      <w:r w:rsidR="00162FDD" w:rsidRPr="00162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="00162FDD"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5E05EE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byla sepsána ve dvou stejnopisech, z nichž každá smluvní strana obdrží po jednom.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V </w:t>
      </w:r>
      <w:r w:rsidR="00304A0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Olomouci 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2F0A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="002F0A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11.09.2019</w:t>
      </w:r>
      <w:proofErr w:type="gramEnd"/>
    </w:p>
    <w:p w:rsidR="005E05EE" w:rsidRDefault="005E05EE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E05EE" w:rsidRDefault="005E05EE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E05EE" w:rsidRDefault="005E05EE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E05EE" w:rsidRDefault="005E05EE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62FDD" w:rsidRPr="00162FDD" w:rsidRDefault="00162FDD" w:rsidP="005E0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……………………………</w:t>
      </w:r>
      <w:proofErr w:type="gramStart"/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…..                                                                …</w:t>
      </w:r>
      <w:proofErr w:type="gramEnd"/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……………………………..</w:t>
      </w:r>
      <w:r w:rsidRPr="00162F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Pronajímatel                                                                                        Nájemce</w:t>
      </w:r>
    </w:p>
    <w:p w:rsidR="00EF1DEF" w:rsidRDefault="00EF1DEF"/>
    <w:p w:rsidR="005E05EE" w:rsidRDefault="005E05EE"/>
    <w:p w:rsidR="005E05EE" w:rsidRDefault="005E05EE" w:rsidP="005E05EE">
      <w:pPr>
        <w:jc w:val="center"/>
        <w:rPr>
          <w:b/>
        </w:rPr>
      </w:pPr>
      <w:r w:rsidRPr="005E05EE">
        <w:rPr>
          <w:b/>
        </w:rPr>
        <w:lastRenderedPageBreak/>
        <w:t>Příloha ke smlouvě</w:t>
      </w:r>
      <w:r>
        <w:rPr>
          <w:b/>
        </w:rPr>
        <w:t xml:space="preserve"> </w:t>
      </w:r>
      <w:r w:rsidRPr="005E05EE">
        <w:rPr>
          <w:b/>
        </w:rPr>
        <w:t>O NÁJMU PROSTORU SLOUŽÍCÍHO PODNIKÁNÍ (§ 2302 NOZ)</w:t>
      </w:r>
    </w:p>
    <w:p w:rsidR="005E05EE" w:rsidRDefault="005E05EE" w:rsidP="005E05EE">
      <w:pPr>
        <w:jc w:val="center"/>
        <w:rPr>
          <w:b/>
          <w:sz w:val="28"/>
        </w:rPr>
      </w:pPr>
    </w:p>
    <w:p w:rsidR="007B5559" w:rsidRPr="007B5559" w:rsidRDefault="007B5559" w:rsidP="007B5559">
      <w:pPr>
        <w:jc w:val="center"/>
        <w:rPr>
          <w:rFonts w:ascii="Cambria" w:hAnsi="Cambria"/>
          <w:b/>
          <w:u w:val="single"/>
        </w:rPr>
      </w:pPr>
      <w:r w:rsidRPr="007B5559">
        <w:rPr>
          <w:rFonts w:ascii="Cambria" w:hAnsi="Cambria"/>
          <w:b/>
          <w:u w:val="single"/>
        </w:rPr>
        <w:t>Rozpis jednotlivých položek úhrady nájemného je následující:</w:t>
      </w:r>
    </w:p>
    <w:p w:rsidR="007B5559" w:rsidRPr="003A1DE4" w:rsidRDefault="007B5559" w:rsidP="007B5559">
      <w:pPr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A0" w:firstRow="1" w:lastRow="0" w:firstColumn="1" w:lastColumn="0" w:noHBand="1" w:noVBand="1"/>
      </w:tblPr>
      <w:tblGrid>
        <w:gridCol w:w="3222"/>
        <w:gridCol w:w="1561"/>
        <w:gridCol w:w="1460"/>
        <w:gridCol w:w="1308"/>
        <w:gridCol w:w="1737"/>
      </w:tblGrid>
      <w:tr w:rsidR="007B5559" w:rsidRPr="003A1DE4" w:rsidTr="007B5559">
        <w:trPr>
          <w:trHeight w:val="330"/>
          <w:jc w:val="center"/>
        </w:trPr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559" w:rsidRPr="003A1DE4" w:rsidRDefault="007B5559" w:rsidP="007B555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3A1DE4">
              <w:rPr>
                <w:rFonts w:ascii="Cambria" w:hAnsi="Cambria" w:cs="Calibri"/>
                <w:b/>
                <w:bCs/>
              </w:rPr>
              <w:br w:type="page"/>
              <w:t>Náklady na služby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559" w:rsidRPr="003A1DE4" w:rsidRDefault="007B5559" w:rsidP="007B555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3A1DE4">
              <w:rPr>
                <w:rFonts w:ascii="Cambria" w:hAnsi="Cambria" w:cs="Calibri"/>
                <w:b/>
                <w:bCs/>
              </w:rPr>
              <w:t>Cena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559" w:rsidRPr="003A1DE4" w:rsidRDefault="007B5559" w:rsidP="007B555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3A1DE4">
              <w:rPr>
                <w:rFonts w:ascii="Cambria" w:hAnsi="Cambria" w:cs="Calibri"/>
                <w:b/>
                <w:bCs/>
              </w:rPr>
              <w:t>% DPH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559" w:rsidRPr="003A1DE4" w:rsidRDefault="007B5559" w:rsidP="007B555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3A1DE4">
              <w:rPr>
                <w:rFonts w:ascii="Cambria" w:hAnsi="Cambria" w:cs="Calibri"/>
                <w:b/>
                <w:bCs/>
              </w:rPr>
              <w:t>DPH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559" w:rsidRPr="003A1DE4" w:rsidRDefault="007B5559" w:rsidP="007B555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3A1DE4">
              <w:rPr>
                <w:rFonts w:ascii="Cambria" w:hAnsi="Cambria" w:cs="Calibri"/>
                <w:b/>
                <w:bCs/>
              </w:rPr>
              <w:t>Celkem s DPH</w:t>
            </w:r>
          </w:p>
        </w:tc>
      </w:tr>
      <w:tr w:rsidR="007B5559" w:rsidRPr="003A1DE4" w:rsidTr="007B5559">
        <w:trPr>
          <w:trHeight w:val="315"/>
          <w:jc w:val="center"/>
        </w:trPr>
        <w:tc>
          <w:tcPr>
            <w:tcW w:w="1734" w:type="pct"/>
            <w:shd w:val="clear" w:color="auto" w:fill="auto"/>
            <w:hideMark/>
          </w:tcPr>
          <w:p w:rsidR="007B5559" w:rsidRPr="003A1DE4" w:rsidRDefault="007B5559" w:rsidP="005B7F9C">
            <w:pPr>
              <w:rPr>
                <w:rFonts w:ascii="Cambria" w:hAnsi="Cambria"/>
                <w:bCs/>
              </w:rPr>
            </w:pPr>
            <w:r w:rsidRPr="003A1DE4">
              <w:rPr>
                <w:rFonts w:ascii="Cambria" w:hAnsi="Cambria"/>
                <w:bCs/>
              </w:rPr>
              <w:t>Nájemné</w:t>
            </w: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794,89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21,00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166,93</w:t>
            </w:r>
          </w:p>
        </w:tc>
        <w:tc>
          <w:tcPr>
            <w:tcW w:w="935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961,82</w:t>
            </w:r>
          </w:p>
        </w:tc>
      </w:tr>
      <w:tr w:rsidR="007B5559" w:rsidRPr="003A1DE4" w:rsidTr="007B5559">
        <w:trPr>
          <w:trHeight w:val="315"/>
          <w:jc w:val="center"/>
        </w:trPr>
        <w:tc>
          <w:tcPr>
            <w:tcW w:w="1734" w:type="pct"/>
            <w:shd w:val="clear" w:color="auto" w:fill="auto"/>
            <w:hideMark/>
          </w:tcPr>
          <w:p w:rsidR="007B5559" w:rsidRPr="003A1DE4" w:rsidRDefault="007B5559" w:rsidP="005B7F9C">
            <w:pPr>
              <w:rPr>
                <w:rFonts w:ascii="Cambria" w:hAnsi="Cambria"/>
                <w:bCs/>
              </w:rPr>
            </w:pPr>
            <w:r w:rsidRPr="003A1DE4">
              <w:rPr>
                <w:rFonts w:ascii="Cambria" w:hAnsi="Cambria"/>
                <w:bCs/>
              </w:rPr>
              <w:t>Topení</w:t>
            </w: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15,90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15,00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2,38</w:t>
            </w:r>
          </w:p>
        </w:tc>
        <w:tc>
          <w:tcPr>
            <w:tcW w:w="935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18,28</w:t>
            </w:r>
          </w:p>
        </w:tc>
      </w:tr>
      <w:tr w:rsidR="007B5559" w:rsidRPr="003A1DE4" w:rsidTr="007B5559">
        <w:trPr>
          <w:trHeight w:val="315"/>
          <w:jc w:val="center"/>
        </w:trPr>
        <w:tc>
          <w:tcPr>
            <w:tcW w:w="1734" w:type="pct"/>
            <w:shd w:val="clear" w:color="auto" w:fill="auto"/>
            <w:hideMark/>
          </w:tcPr>
          <w:p w:rsidR="007B5559" w:rsidRPr="003A1DE4" w:rsidRDefault="007B5559" w:rsidP="005B7F9C">
            <w:pPr>
              <w:rPr>
                <w:rFonts w:ascii="Cambria" w:hAnsi="Cambria"/>
                <w:bCs/>
              </w:rPr>
            </w:pPr>
            <w:r w:rsidRPr="003A1DE4">
              <w:rPr>
                <w:rFonts w:ascii="Cambria" w:hAnsi="Cambria"/>
                <w:bCs/>
              </w:rPr>
              <w:t xml:space="preserve">El. </w:t>
            </w:r>
            <w:proofErr w:type="gramStart"/>
            <w:r w:rsidRPr="003A1DE4">
              <w:rPr>
                <w:rFonts w:ascii="Cambria" w:hAnsi="Cambria"/>
                <w:bCs/>
              </w:rPr>
              <w:t>energie</w:t>
            </w:r>
            <w:proofErr w:type="gramEnd"/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731,30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21,00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153,57</w:t>
            </w:r>
          </w:p>
        </w:tc>
        <w:tc>
          <w:tcPr>
            <w:tcW w:w="935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884,87</w:t>
            </w:r>
          </w:p>
        </w:tc>
      </w:tr>
      <w:tr w:rsidR="007B5559" w:rsidRPr="003A1DE4" w:rsidTr="007B5559">
        <w:trPr>
          <w:trHeight w:val="315"/>
          <w:jc w:val="center"/>
        </w:trPr>
        <w:tc>
          <w:tcPr>
            <w:tcW w:w="1734" w:type="pct"/>
            <w:shd w:val="clear" w:color="auto" w:fill="auto"/>
            <w:hideMark/>
          </w:tcPr>
          <w:p w:rsidR="007B5559" w:rsidRPr="003A1DE4" w:rsidRDefault="007B5559" w:rsidP="005B7F9C">
            <w:pPr>
              <w:rPr>
                <w:rFonts w:ascii="Cambria" w:hAnsi="Cambria"/>
                <w:bCs/>
              </w:rPr>
            </w:pPr>
            <w:r w:rsidRPr="003A1DE4">
              <w:rPr>
                <w:rFonts w:ascii="Cambria" w:hAnsi="Cambria"/>
                <w:bCs/>
              </w:rPr>
              <w:t>Vodné a stočné</w:t>
            </w: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47,69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15,00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:rsidR="007B5559" w:rsidRDefault="007B5559" w:rsidP="009E36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7,1</w:t>
            </w:r>
            <w:r w:rsidR="009E369C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935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54,85</w:t>
            </w:r>
          </w:p>
        </w:tc>
      </w:tr>
      <w:tr w:rsidR="007B5559" w:rsidRPr="003A1DE4" w:rsidTr="007B5559">
        <w:trPr>
          <w:trHeight w:val="315"/>
          <w:jc w:val="center"/>
        </w:trPr>
        <w:tc>
          <w:tcPr>
            <w:tcW w:w="1734" w:type="pct"/>
            <w:shd w:val="clear" w:color="auto" w:fill="auto"/>
            <w:hideMark/>
          </w:tcPr>
          <w:p w:rsidR="007B5559" w:rsidRPr="003A1DE4" w:rsidRDefault="007B5559" w:rsidP="005B7F9C">
            <w:pPr>
              <w:rPr>
                <w:rFonts w:ascii="Cambria" w:hAnsi="Cambria"/>
                <w:bCs/>
              </w:rPr>
            </w:pPr>
            <w:r w:rsidRPr="003A1DE4">
              <w:rPr>
                <w:rFonts w:ascii="Cambria" w:hAnsi="Cambria"/>
                <w:bCs/>
              </w:rPr>
              <w:t>Odpis budovy</w:t>
            </w: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10,22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935" w:type="pct"/>
            <w:shd w:val="clear" w:color="auto" w:fill="auto"/>
            <w:vAlign w:val="bottom"/>
            <w:hideMark/>
          </w:tcPr>
          <w:p w:rsidR="007B5559" w:rsidRDefault="007B5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10,22</w:t>
            </w:r>
          </w:p>
        </w:tc>
      </w:tr>
      <w:tr w:rsidR="007B5559" w:rsidRPr="003A1DE4" w:rsidTr="007B5559">
        <w:trPr>
          <w:trHeight w:val="315"/>
          <w:jc w:val="center"/>
        </w:trPr>
        <w:tc>
          <w:tcPr>
            <w:tcW w:w="1734" w:type="pct"/>
            <w:shd w:val="clear" w:color="auto" w:fill="auto"/>
            <w:hideMark/>
          </w:tcPr>
          <w:p w:rsidR="007B5559" w:rsidRPr="003A1DE4" w:rsidRDefault="007B5559" w:rsidP="005B7F9C">
            <w:pPr>
              <w:rPr>
                <w:rFonts w:ascii="Cambria" w:hAnsi="Cambria"/>
                <w:b/>
                <w:bCs/>
              </w:rPr>
            </w:pPr>
            <w:r w:rsidRPr="003A1DE4">
              <w:rPr>
                <w:rFonts w:ascii="Cambria" w:hAnsi="Cambria"/>
                <w:b/>
                <w:bCs/>
              </w:rPr>
              <w:t>Celkem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7B5559" w:rsidRPr="007B5559" w:rsidRDefault="007B555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B5559"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7B5559">
              <w:rPr>
                <w:rFonts w:ascii="Calibri" w:eastAsia="Calibri" w:hAnsi="Calibri" w:cs="Calibri"/>
                <w:b/>
                <w:color w:val="000000"/>
              </w:rPr>
              <w:t>600,00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B5559" w:rsidRPr="007B5559" w:rsidRDefault="007B555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4" w:type="pct"/>
            <w:shd w:val="clear" w:color="auto" w:fill="auto"/>
            <w:vAlign w:val="bottom"/>
            <w:hideMark/>
          </w:tcPr>
          <w:p w:rsidR="007B5559" w:rsidRPr="007B5559" w:rsidRDefault="006228B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330,04</w:t>
            </w:r>
          </w:p>
        </w:tc>
        <w:tc>
          <w:tcPr>
            <w:tcW w:w="935" w:type="pct"/>
            <w:shd w:val="clear" w:color="auto" w:fill="auto"/>
            <w:vAlign w:val="bottom"/>
            <w:hideMark/>
          </w:tcPr>
          <w:p w:rsidR="007B5559" w:rsidRPr="007B5559" w:rsidRDefault="007B555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B5559"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7B5559">
              <w:rPr>
                <w:rFonts w:ascii="Calibri" w:eastAsia="Calibri" w:hAnsi="Calibri" w:cs="Calibri"/>
                <w:b/>
                <w:color w:val="000000"/>
              </w:rPr>
              <w:t>930,04</w:t>
            </w:r>
          </w:p>
        </w:tc>
      </w:tr>
    </w:tbl>
    <w:p w:rsidR="005E05EE" w:rsidRPr="005E05EE" w:rsidRDefault="005E05EE" w:rsidP="005E05EE">
      <w:pPr>
        <w:jc w:val="center"/>
        <w:rPr>
          <w:b/>
          <w:sz w:val="28"/>
        </w:rPr>
      </w:pPr>
    </w:p>
    <w:p w:rsidR="005E05EE" w:rsidRPr="005E05EE" w:rsidRDefault="005E05EE" w:rsidP="005E05EE">
      <w:pPr>
        <w:jc w:val="center"/>
        <w:rPr>
          <w:b/>
        </w:rPr>
      </w:pPr>
    </w:p>
    <w:sectPr w:rsidR="005E05EE" w:rsidRPr="005E05EE" w:rsidSect="0090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DD"/>
    <w:rsid w:val="000A5966"/>
    <w:rsid w:val="00162FDD"/>
    <w:rsid w:val="002D41B2"/>
    <w:rsid w:val="002F0AB2"/>
    <w:rsid w:val="00304A04"/>
    <w:rsid w:val="00367D07"/>
    <w:rsid w:val="005E05EE"/>
    <w:rsid w:val="006228B2"/>
    <w:rsid w:val="006F5124"/>
    <w:rsid w:val="00753C38"/>
    <w:rsid w:val="007B5559"/>
    <w:rsid w:val="00852665"/>
    <w:rsid w:val="00903625"/>
    <w:rsid w:val="00917831"/>
    <w:rsid w:val="009E369C"/>
    <w:rsid w:val="00AD07DD"/>
    <w:rsid w:val="00E346A2"/>
    <w:rsid w:val="00E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2FDD"/>
    <w:rPr>
      <w:b/>
      <w:bCs/>
    </w:rPr>
  </w:style>
  <w:style w:type="character" w:styleId="Zvraznn">
    <w:name w:val="Emphasis"/>
    <w:basedOn w:val="Standardnpsmoodstavce"/>
    <w:uiPriority w:val="20"/>
    <w:qFormat/>
    <w:rsid w:val="00162F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2FDD"/>
    <w:rPr>
      <w:b/>
      <w:bCs/>
    </w:rPr>
  </w:style>
  <w:style w:type="character" w:styleId="Zvraznn">
    <w:name w:val="Emphasis"/>
    <w:basedOn w:val="Standardnpsmoodstavce"/>
    <w:uiPriority w:val="20"/>
    <w:qFormat/>
    <w:rsid w:val="00162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1155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Bc. Anna Mračková</cp:lastModifiedBy>
  <cp:revision>7</cp:revision>
  <cp:lastPrinted>2019-10-03T09:31:00Z</cp:lastPrinted>
  <dcterms:created xsi:type="dcterms:W3CDTF">2019-10-03T08:55:00Z</dcterms:created>
  <dcterms:modified xsi:type="dcterms:W3CDTF">2019-10-03T11:27:00Z</dcterms:modified>
</cp:coreProperties>
</file>