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654D8">
              <w:rPr>
                <w:rFonts w:ascii="Arial Narrow" w:hAnsi="Arial Narrow" w:cs="Tahoma"/>
                <w:b/>
                <w:sz w:val="28"/>
                <w:szCs w:val="28"/>
              </w:rPr>
              <w:t>J0445/2021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654D8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654D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Antonín Florián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654D8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Čsl. armády 2488, Tábor - Tábor, 39003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t>10329111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654D8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projektovou dokumentaci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t>U Stadionu Míru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654D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25 000,00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t>08. 12. 2021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t>31. 12. 2021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654D8">
              <w:rPr>
                <w:rFonts w:ascii="Arial Narrow" w:hAnsi="Arial Narrow" w:cs="Tahoma"/>
                <w:sz w:val="28"/>
                <w:szCs w:val="28"/>
              </w:rPr>
              <w:t>08. 12. 2021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AA41D4"/>
    <w:rsid w:val="00C6320C"/>
    <w:rsid w:val="00CA79A9"/>
    <w:rsid w:val="00D654D8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2021-12-08T07:26:00Z</dcterms:created>
  <dcterms:modified xsi:type="dcterms:W3CDTF">2021-12-08T07:26:00Z</dcterms:modified>
</cp:coreProperties>
</file>