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2B7F2C3C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7B3719">
              <w:rPr>
                <w:rFonts w:ascii="Calibri" w:hAnsi="Calibri"/>
                <w:sz w:val="28"/>
              </w:rPr>
              <w:t>9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02CABDA4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BF5013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0D5F90E2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7B3719">
              <w:rPr>
                <w:rFonts w:ascii="Calibri" w:hAnsi="Calibri"/>
                <w:b/>
              </w:rPr>
              <w:t>9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65364AEB" w:rsidR="0024741F" w:rsidRDefault="00715439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Nadpraží protipožárních dveří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582BD45A" w:rsidR="00B3207B" w:rsidRDefault="006B7F50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Na základě zjištění skutečného stavu </w:t>
            </w:r>
            <w:r w:rsidR="00715439">
              <w:rPr>
                <w:rFonts w:cstheme="minorHAnsi"/>
              </w:rPr>
              <w:t xml:space="preserve">nadpraží protipožárních </w:t>
            </w:r>
            <w:r w:rsidR="00CD6FDE">
              <w:rPr>
                <w:rFonts w:cstheme="minorHAnsi"/>
              </w:rPr>
              <w:t>uzávěrů</w:t>
            </w:r>
            <w:r w:rsidR="00715439">
              <w:rPr>
                <w:rFonts w:cstheme="minorHAnsi"/>
              </w:rPr>
              <w:t xml:space="preserve"> mezi jednotlivými požárními úseky </w:t>
            </w:r>
            <w:r w:rsidR="00CD6FDE">
              <w:rPr>
                <w:rFonts w:cstheme="minorHAnsi"/>
              </w:rPr>
              <w:t xml:space="preserve">objektu DZU </w:t>
            </w:r>
            <w:r w:rsidR="00715439">
              <w:rPr>
                <w:rFonts w:cstheme="minorHAnsi"/>
              </w:rPr>
              <w:t>je nutno SDK napraží provést jako protipožární s požární odolností. Původní trubní vedení vody a topo vedené nad podhledem, které v dělící protipožární konstrukci není nikterak protipožárně zajištěno, je nutno zajistit novými protipožárními ucpávkami v plném rozsahu.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687CCF7F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C85069">
              <w:rPr>
                <w:rFonts w:ascii="Calibri" w:hAnsi="Calibri"/>
              </w:rPr>
            </w:r>
            <w:r w:rsidR="00C8506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47C8610B" w14:textId="4289F62D" w:rsidR="00B3207B" w:rsidRPr="00AE796E" w:rsidRDefault="00AE796E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AE796E">
              <w:rPr>
                <w:rFonts w:ascii="Calibri" w:hAnsi="Calibri" w:cs="Arial"/>
                <w:bCs/>
              </w:rPr>
              <w:t xml:space="preserve">Souhlasím. Zvýšený rozsah protipožárních ucpávek řeší situace v místech, kde jsou vedeny nové trasy potrubních rozvodů pro solární systém. Po odkrytí původní kapotáže nadpraží se ukázalo, že </w:t>
            </w:r>
            <w:r w:rsidRPr="00AE796E">
              <w:rPr>
                <w:rFonts w:ascii="Calibri" w:hAnsi="Calibri" w:cs="Arial"/>
                <w:bCs/>
              </w:rPr>
              <w:lastRenderedPageBreak/>
              <w:t>celé šířky prostupů původních potrubních a kabelových tras nejsou požárně utěsněny dle platných předpisů. Projekt předpokládal ucpávky pouze pro nové potrubní trasy.</w:t>
            </w:r>
            <w:r>
              <w:rPr>
                <w:rFonts w:ascii="Calibri" w:hAnsi="Calibri" w:cs="Arial"/>
                <w:bCs/>
              </w:rPr>
              <w:t xml:space="preserve"> Rozsah posouzen a navrženo řešení požárním specialistou.</w:t>
            </w: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5F09E4FE" w14:textId="7D71256E" w:rsidR="0024741F" w:rsidRDefault="004C7ED5" w:rsidP="00DB21C4">
            <w:pPr>
              <w:spacing w:after="120"/>
              <w:rPr>
                <w:rFonts w:cstheme="minorHAnsi"/>
              </w:rPr>
            </w:pPr>
            <w:r w:rsidRPr="00DB21C4">
              <w:rPr>
                <w:rFonts w:cstheme="minorHAnsi"/>
              </w:rPr>
              <w:t xml:space="preserve">Při odkrývání konstrukcí během provádění stavby byla zjištěna absence požárních ucpávek u stávajících prostupů požárně dělícími konstrukcemi. Vzhledem k tomu, že nové prostupy byly v projektové dokumentaci navrženy s požární ucpávkou pro zachování požární bezpečnosti stavby, je nutné stávající požární ucpávky, které měly být u stávající konstrukce provedeny, doplnit. </w:t>
            </w:r>
          </w:p>
          <w:p w14:paraId="78B5D7BB" w14:textId="34BAFE72" w:rsidR="00DB21C4" w:rsidRPr="00DB21C4" w:rsidRDefault="00DB21C4" w:rsidP="00DB21C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Bez provedení ucpávek v místě jejich absence není dodržena požární bezpečnost a je nutné tyto ucpávky dodělat.  </w:t>
            </w:r>
          </w:p>
          <w:p w14:paraId="39AD5B46" w14:textId="07326330" w:rsidR="004C7ED5" w:rsidRPr="00DB21C4" w:rsidRDefault="00DB21C4" w:rsidP="00DB21C4">
            <w:pPr>
              <w:spacing w:after="120"/>
              <w:rPr>
                <w:rFonts w:cstheme="minorHAnsi"/>
              </w:rPr>
            </w:pPr>
            <w:r w:rsidRPr="00DB21C4">
              <w:rPr>
                <w:rFonts w:cstheme="minorHAnsi"/>
              </w:rPr>
              <w:t xml:space="preserve">S navrženým doplněním souhlasím. </w:t>
            </w:r>
          </w:p>
          <w:p w14:paraId="618D5E0D" w14:textId="458E9271" w:rsidR="004C7ED5" w:rsidRDefault="004C7ED5" w:rsidP="004C7ED5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Jedná se o změnu dle čl. IV., odst. 6a)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62E1DBC1" w14:textId="77CD0DD7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DB21C4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DB21C4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Pr="00BF5013" w:rsidRDefault="00B3207B" w:rsidP="00B3207B">
            <w:pPr>
              <w:spacing w:after="120"/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6D9ECC2" w:rsidR="00B3207B" w:rsidRPr="00BF5013" w:rsidRDefault="00B3207B" w:rsidP="00B3207B">
            <w:pPr>
              <w:spacing w:after="120"/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Rozpočet ZL č. 1</w:t>
            </w:r>
            <w:r w:rsidR="00BF5013" w:rsidRPr="00BF5013">
              <w:rPr>
                <w:rFonts w:ascii="Calibri" w:hAnsi="Calibri"/>
              </w:rPr>
              <w:t>9</w:t>
            </w:r>
          </w:p>
          <w:p w14:paraId="7B388227" w14:textId="615CA073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BF5013">
              <w:rPr>
                <w:rFonts w:ascii="Calibri" w:hAnsi="Calibri"/>
              </w:rPr>
              <w:t>Změnový list č. 1</w:t>
            </w:r>
            <w:r w:rsidR="00BF5013" w:rsidRPr="00BF5013">
              <w:rPr>
                <w:rFonts w:ascii="Calibri" w:hAnsi="Calibri"/>
              </w:rPr>
              <w:t>9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271ED0D1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7B3719">
              <w:rPr>
                <w:rFonts w:ascii="Calibri" w:hAnsi="Calibri"/>
                <w:sz w:val="28"/>
              </w:rPr>
              <w:t>9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62E454" w:rsidR="00B3207B" w:rsidRPr="000D7E15" w:rsidRDefault="00BF5013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448FFA31" w14:textId="77777777" w:rsidR="00715439" w:rsidRDefault="00715439" w:rsidP="00715439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Nadpraží protipožárních dveří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06F7D8B" w14:textId="77777777" w:rsidR="00BF5013" w:rsidRDefault="00BF5013" w:rsidP="00BF501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 základě zjištění skutečného stavu nadpraží protipožárních uzávěrů mezi jednotlivými požárními úseky objektu DZU je nutno SDK napraží provést jako protipožární s požární odolností. Původní trubní vedení vody a topo vedené nad podhledem, které v dělící protipožární konstrukci není nikterak protipožárně zajištěno, je nutno zajistit novými protipožárními ucpávkami v plném rozsahu.</w:t>
            </w: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1DD3CA1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BF5013" w:rsidRDefault="00B3207B" w:rsidP="00B3207B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BF5013" w:rsidRDefault="00F3269A" w:rsidP="00B3207B">
            <w:pPr>
              <w:rPr>
                <w:rFonts w:ascii="Calibri" w:hAnsi="Calibri"/>
              </w:rPr>
            </w:pPr>
          </w:p>
          <w:p w14:paraId="1C5C0DF2" w14:textId="53F15FDC" w:rsidR="00B3207B" w:rsidRPr="00BF5013" w:rsidRDefault="007B3719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F5013">
              <w:rPr>
                <w:rFonts w:ascii="Calibri" w:hAnsi="Calibri"/>
                <w:b/>
              </w:rPr>
              <w:t>0</w:t>
            </w:r>
            <w:r w:rsidR="00B3207B" w:rsidRPr="00BF5013">
              <w:rPr>
                <w:rFonts w:ascii="Calibri" w:hAnsi="Calibri"/>
                <w:b/>
              </w:rPr>
              <w:t>,</w:t>
            </w:r>
            <w:r w:rsidRPr="00BF5013">
              <w:rPr>
                <w:rFonts w:ascii="Calibri" w:hAnsi="Calibri"/>
                <w:b/>
              </w:rPr>
              <w:t>0</w:t>
            </w:r>
            <w:r w:rsidR="00472129" w:rsidRPr="00BF5013">
              <w:rPr>
                <w:rFonts w:ascii="Calibri" w:hAnsi="Calibri"/>
                <w:b/>
              </w:rPr>
              <w:t>0</w:t>
            </w:r>
            <w:r w:rsidR="00B3207B" w:rsidRPr="00BF5013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BF5013" w:rsidRDefault="00B3207B" w:rsidP="00B3207B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BF5013" w:rsidRDefault="00F3269A" w:rsidP="00B3207B">
            <w:pPr>
              <w:rPr>
                <w:rFonts w:ascii="Calibri" w:hAnsi="Calibri"/>
              </w:rPr>
            </w:pPr>
          </w:p>
          <w:p w14:paraId="128FC646" w14:textId="14BB13B4" w:rsidR="00B3207B" w:rsidRPr="00BF5013" w:rsidRDefault="007B3719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F5013">
              <w:rPr>
                <w:rFonts w:ascii="Calibri" w:hAnsi="Calibri" w:cs="Calibri"/>
                <w:b/>
              </w:rPr>
              <w:t>94</w:t>
            </w:r>
            <w:r w:rsidR="00851F73" w:rsidRPr="00BF5013">
              <w:rPr>
                <w:rFonts w:ascii="Calibri" w:hAnsi="Calibri" w:cs="Calibri"/>
                <w:b/>
              </w:rPr>
              <w:t>.</w:t>
            </w:r>
            <w:r w:rsidRPr="00BF5013">
              <w:rPr>
                <w:rFonts w:ascii="Calibri" w:hAnsi="Calibri" w:cs="Calibri"/>
                <w:b/>
              </w:rPr>
              <w:t>420</w:t>
            </w:r>
            <w:r w:rsidR="00851F73" w:rsidRPr="00BF5013">
              <w:rPr>
                <w:rFonts w:ascii="Calibri" w:hAnsi="Calibri" w:cs="Calibri"/>
                <w:b/>
              </w:rPr>
              <w:t>,</w:t>
            </w:r>
            <w:r w:rsidRPr="00BF5013">
              <w:rPr>
                <w:rFonts w:ascii="Calibri" w:hAnsi="Calibri" w:cs="Calibri"/>
                <w:b/>
              </w:rPr>
              <w:t>0</w:t>
            </w:r>
            <w:r w:rsidR="00395EE9" w:rsidRPr="00BF5013">
              <w:rPr>
                <w:rFonts w:ascii="Calibri" w:hAnsi="Calibri" w:cs="Calibri"/>
                <w:b/>
              </w:rPr>
              <w:t>0</w:t>
            </w:r>
            <w:r w:rsidR="00851F73" w:rsidRPr="00BF5013">
              <w:rPr>
                <w:rFonts w:ascii="Calibri" w:hAnsi="Calibri" w:cs="Calibri"/>
                <w:b/>
              </w:rPr>
              <w:t xml:space="preserve"> </w:t>
            </w:r>
            <w:r w:rsidR="00851F73" w:rsidRPr="00BF5013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BF5013" w:rsidRDefault="00660B60" w:rsidP="004A3E77">
            <w:pPr>
              <w:spacing w:after="120"/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BF5013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31EDDDA9" w:rsidR="00660B60" w:rsidRPr="00BF5013" w:rsidRDefault="007B3719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F5013">
              <w:rPr>
                <w:rFonts w:ascii="Calibri" w:hAnsi="Calibri" w:cs="Calibri"/>
                <w:b/>
              </w:rPr>
              <w:t>94</w:t>
            </w:r>
            <w:r w:rsidR="004A5970" w:rsidRPr="00BF5013">
              <w:rPr>
                <w:rFonts w:ascii="Calibri" w:hAnsi="Calibri" w:cs="Calibri"/>
                <w:b/>
              </w:rPr>
              <w:t>.</w:t>
            </w:r>
            <w:r w:rsidR="00472129" w:rsidRPr="00BF5013">
              <w:rPr>
                <w:rFonts w:ascii="Calibri" w:hAnsi="Calibri" w:cs="Calibri"/>
                <w:b/>
              </w:rPr>
              <w:t>4</w:t>
            </w:r>
            <w:r w:rsidRPr="00BF5013">
              <w:rPr>
                <w:rFonts w:ascii="Calibri" w:hAnsi="Calibri" w:cs="Calibri"/>
                <w:b/>
              </w:rPr>
              <w:t>20</w:t>
            </w:r>
            <w:r w:rsidR="00851F73" w:rsidRPr="00BF5013">
              <w:rPr>
                <w:rFonts w:ascii="Calibri" w:hAnsi="Calibri" w:cs="Calibri"/>
                <w:b/>
              </w:rPr>
              <w:t>,</w:t>
            </w:r>
            <w:r w:rsidRPr="00BF5013">
              <w:rPr>
                <w:rFonts w:ascii="Calibri" w:hAnsi="Calibri" w:cs="Calibri"/>
                <w:b/>
              </w:rPr>
              <w:t>0</w:t>
            </w:r>
            <w:r w:rsidR="00472129" w:rsidRPr="00BF5013">
              <w:rPr>
                <w:rFonts w:ascii="Calibri" w:hAnsi="Calibri" w:cs="Calibri"/>
                <w:b/>
              </w:rPr>
              <w:t>0</w:t>
            </w:r>
            <w:r w:rsidR="0024741F" w:rsidRPr="00BF5013">
              <w:rPr>
                <w:rFonts w:ascii="Calibri" w:hAnsi="Calibri" w:cs="Calibri"/>
                <w:b/>
              </w:rPr>
              <w:t xml:space="preserve"> </w:t>
            </w:r>
            <w:r w:rsidR="0024741F" w:rsidRPr="00BF5013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BF5013" w:rsidRDefault="00660B60" w:rsidP="004A3E77">
            <w:pPr>
              <w:spacing w:after="120"/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BF5013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BF5013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BF5013" w:rsidRDefault="00660B60" w:rsidP="00153625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BF5013" w:rsidRDefault="00660B60" w:rsidP="00660B60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3201E85D" w14:textId="5B66BF56" w:rsidR="00660B60" w:rsidRPr="00BF5013" w:rsidRDefault="00660B60" w:rsidP="00660B60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 xml:space="preserve">Datum:  </w:t>
            </w:r>
            <w:r w:rsidR="00BF5013" w:rsidRPr="00BF5013">
              <w:rPr>
                <w:rFonts w:ascii="Calibri" w:hAnsi="Calibri"/>
              </w:rPr>
              <w:t>16.11</w:t>
            </w:r>
            <w:r w:rsidRPr="00BF5013">
              <w:rPr>
                <w:rFonts w:ascii="Calibri" w:hAnsi="Calibri"/>
              </w:rPr>
              <w:t>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BF5013" w:rsidRDefault="00660B60" w:rsidP="00660B60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BF5013" w:rsidRDefault="00660B60" w:rsidP="00660B60">
            <w:pPr>
              <w:rPr>
                <w:rFonts w:ascii="Calibri" w:hAnsi="Calibri"/>
              </w:rPr>
            </w:pPr>
          </w:p>
          <w:p w14:paraId="0E3C185F" w14:textId="3197834D" w:rsidR="00660B60" w:rsidRPr="00BF5013" w:rsidRDefault="00660B60" w:rsidP="00660B60">
            <w:pPr>
              <w:rPr>
                <w:rFonts w:ascii="Calibri" w:hAnsi="Calibri"/>
              </w:rPr>
            </w:pPr>
            <w:r w:rsidRPr="00BF5013">
              <w:rPr>
                <w:rFonts w:ascii="Calibri" w:hAnsi="Calibri"/>
              </w:rPr>
              <w:t xml:space="preserve">Datum:  </w:t>
            </w:r>
            <w:r w:rsidR="00BF5013" w:rsidRPr="00BF5013">
              <w:rPr>
                <w:rFonts w:ascii="Calibri" w:hAnsi="Calibri"/>
              </w:rPr>
              <w:t>16.11</w:t>
            </w:r>
            <w:r w:rsidRPr="00BF5013">
              <w:rPr>
                <w:rFonts w:ascii="Calibri" w:hAnsi="Calibri"/>
              </w:rPr>
              <w:t>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FCC32" w14:textId="77777777" w:rsidR="00C85069" w:rsidRDefault="00C85069" w:rsidP="00660B60">
      <w:pPr>
        <w:spacing w:after="0" w:line="240" w:lineRule="auto"/>
      </w:pPr>
      <w:r>
        <w:separator/>
      </w:r>
    </w:p>
  </w:endnote>
  <w:endnote w:type="continuationSeparator" w:id="0">
    <w:p w14:paraId="4E9788D6" w14:textId="77777777" w:rsidR="00C85069" w:rsidRDefault="00C85069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0C2F3" w14:textId="77777777" w:rsidR="00C85069" w:rsidRDefault="00C85069" w:rsidP="00660B60">
      <w:pPr>
        <w:spacing w:after="0" w:line="240" w:lineRule="auto"/>
      </w:pPr>
      <w:r>
        <w:separator/>
      </w:r>
    </w:p>
  </w:footnote>
  <w:footnote w:type="continuationSeparator" w:id="0">
    <w:p w14:paraId="0EAB77A0" w14:textId="77777777" w:rsidR="00C85069" w:rsidRDefault="00C85069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35313"/>
    <w:rsid w:val="000470E0"/>
    <w:rsid w:val="00085742"/>
    <w:rsid w:val="000F678A"/>
    <w:rsid w:val="00134F64"/>
    <w:rsid w:val="00153625"/>
    <w:rsid w:val="00196717"/>
    <w:rsid w:val="001F5CA0"/>
    <w:rsid w:val="0024741F"/>
    <w:rsid w:val="00265352"/>
    <w:rsid w:val="0027575A"/>
    <w:rsid w:val="003162B0"/>
    <w:rsid w:val="00367029"/>
    <w:rsid w:val="00395EE9"/>
    <w:rsid w:val="00472129"/>
    <w:rsid w:val="004A3E77"/>
    <w:rsid w:val="004A5970"/>
    <w:rsid w:val="004C7ED5"/>
    <w:rsid w:val="00555307"/>
    <w:rsid w:val="00557E9B"/>
    <w:rsid w:val="0059221D"/>
    <w:rsid w:val="00660B60"/>
    <w:rsid w:val="00674B02"/>
    <w:rsid w:val="006B7F50"/>
    <w:rsid w:val="006D0A0D"/>
    <w:rsid w:val="006F18E7"/>
    <w:rsid w:val="0070502C"/>
    <w:rsid w:val="00715439"/>
    <w:rsid w:val="00773B8E"/>
    <w:rsid w:val="007B3719"/>
    <w:rsid w:val="00820AED"/>
    <w:rsid w:val="008212FD"/>
    <w:rsid w:val="00844383"/>
    <w:rsid w:val="00851F73"/>
    <w:rsid w:val="008A303F"/>
    <w:rsid w:val="008D1D31"/>
    <w:rsid w:val="008F5B8F"/>
    <w:rsid w:val="00942C89"/>
    <w:rsid w:val="00A21DD9"/>
    <w:rsid w:val="00AE796E"/>
    <w:rsid w:val="00B3207B"/>
    <w:rsid w:val="00B96D2E"/>
    <w:rsid w:val="00BF5013"/>
    <w:rsid w:val="00C05D01"/>
    <w:rsid w:val="00C85069"/>
    <w:rsid w:val="00CD6FDE"/>
    <w:rsid w:val="00D11895"/>
    <w:rsid w:val="00D25C99"/>
    <w:rsid w:val="00D535ED"/>
    <w:rsid w:val="00DB21C4"/>
    <w:rsid w:val="00E20BBC"/>
    <w:rsid w:val="00E41C8E"/>
    <w:rsid w:val="00E85570"/>
    <w:rsid w:val="00E8724C"/>
    <w:rsid w:val="00E97544"/>
    <w:rsid w:val="00EA5F1E"/>
    <w:rsid w:val="00ED2D0E"/>
    <w:rsid w:val="00F209DC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D5BD1A63-1CDB-48C6-9AD3-4B2B4767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AE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2021-12-07T12:43:00Z</dcterms:created>
  <dcterms:modified xsi:type="dcterms:W3CDTF">2021-12-07T12:43:00Z</dcterms:modified>
</cp:coreProperties>
</file>