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37C5D26C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085742">
              <w:rPr>
                <w:rFonts w:ascii="Calibri" w:hAnsi="Calibri"/>
                <w:sz w:val="28"/>
              </w:rPr>
              <w:t>4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10DC522E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663D7A">
              <w:rPr>
                <w:rFonts w:ascii="Calibri" w:hAnsi="Calibri"/>
              </w:rPr>
              <w:t>16</w:t>
            </w:r>
            <w:r w:rsidR="00E20BBC">
              <w:rPr>
                <w:rFonts w:ascii="Calibri" w:hAnsi="Calibri"/>
              </w:rPr>
              <w:t>.</w:t>
            </w:r>
            <w:r w:rsidR="001F5CA0">
              <w:rPr>
                <w:rFonts w:ascii="Calibri" w:hAnsi="Calibri"/>
              </w:rPr>
              <w:t>11</w:t>
            </w:r>
            <w:r w:rsidR="00E20BBC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0BCF545F" w:rsidR="00B3207B" w:rsidRDefault="00B3207B" w:rsidP="00B3207B">
            <w:pPr>
              <w:spacing w:after="120"/>
            </w:pPr>
            <w:r w:rsidRPr="006D0A0D">
              <w:rPr>
                <w:rFonts w:ascii="Calibri" w:hAnsi="Calibri"/>
                <w:b/>
              </w:rPr>
              <w:t>Rozpočet ZL 1</w:t>
            </w:r>
            <w:r w:rsidR="00085742">
              <w:rPr>
                <w:rFonts w:ascii="Calibri" w:hAnsi="Calibri"/>
                <w:b/>
              </w:rPr>
              <w:t>4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1EFB437" w14:textId="62039B2A" w:rsidR="0024741F" w:rsidRDefault="00085742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Chodby dřevěný záklop</w:t>
            </w:r>
          </w:p>
          <w:p w14:paraId="4BACDAB2" w14:textId="7A5F37E1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15BC634B" w14:textId="6F49640F" w:rsidR="00B3207B" w:rsidRDefault="00085742" w:rsidP="00B3207B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 chodbách objektu </w:t>
            </w:r>
            <w:r w:rsidR="0090690A">
              <w:rPr>
                <w:rFonts w:cstheme="minorHAnsi"/>
              </w:rPr>
              <w:t xml:space="preserve">v 3.NP </w:t>
            </w:r>
            <w:r>
              <w:rPr>
                <w:rFonts w:cstheme="minorHAnsi"/>
              </w:rPr>
              <w:t xml:space="preserve">po odkrytí SDK zjištěny obrácené uložené ocelové krokve, kdy při aplikaci jednoho dřevěného záklopu by docházelo k průhybům </w:t>
            </w:r>
            <w:r w:rsidR="0090690A">
              <w:rPr>
                <w:rFonts w:cstheme="minorHAnsi"/>
              </w:rPr>
              <w:t>střešn</w:t>
            </w:r>
            <w:r>
              <w:rPr>
                <w:rFonts w:cstheme="minorHAnsi"/>
              </w:rPr>
              <w:t>í folie a rizikům soustředění vody na průhybech folie. Tuto folii je nutno uložit na dřevěné bednění, aby k průhybům folie nedocházelo. Následn</w:t>
            </w:r>
            <w:r w:rsidR="00F209DC">
              <w:rPr>
                <w:rFonts w:cstheme="minorHAnsi"/>
              </w:rPr>
              <w:t>é</w:t>
            </w:r>
            <w:r>
              <w:rPr>
                <w:rFonts w:cstheme="minorHAnsi"/>
              </w:rPr>
              <w:t xml:space="preserve"> opatř</w:t>
            </w:r>
            <w:r w:rsidR="00F209DC">
              <w:rPr>
                <w:rFonts w:cstheme="minorHAnsi"/>
              </w:rPr>
              <w:t>ení</w:t>
            </w:r>
            <w:r>
              <w:rPr>
                <w:rFonts w:cstheme="minorHAnsi"/>
              </w:rPr>
              <w:t xml:space="preserve"> kontralatěmi a druhým záklopem </w:t>
            </w:r>
            <w:r w:rsidR="00F209DC">
              <w:rPr>
                <w:rFonts w:cstheme="minorHAnsi"/>
              </w:rPr>
              <w:t xml:space="preserve">dle PD </w:t>
            </w:r>
            <w:r>
              <w:rPr>
                <w:rFonts w:cstheme="minorHAnsi"/>
              </w:rPr>
              <w:t>pro zajištění odvětrávání stř.pláště</w:t>
            </w:r>
            <w:r w:rsidR="00663D7A">
              <w:rPr>
                <w:rFonts w:cstheme="minorHAnsi"/>
              </w:rPr>
              <w:t>.</w:t>
            </w:r>
          </w:p>
          <w:p w14:paraId="08287325" w14:textId="5C431D00" w:rsidR="008A303F" w:rsidRPr="00B3207B" w:rsidRDefault="008A303F" w:rsidP="00B3207B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342838EE" w:rsidR="00B3207B" w:rsidRDefault="00B3207B" w:rsidP="00B3207B">
            <w:pPr>
              <w:spacing w:after="120"/>
            </w:pP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0813BA8" w:rsidR="00B3207B" w:rsidRPr="00265352" w:rsidRDefault="00B96D2E" w:rsidP="00B3207B">
            <w:pPr>
              <w:spacing w:after="120"/>
              <w:jc w:val="both"/>
              <w:rPr>
                <w:rFonts w:ascii="Calibri" w:hAnsi="Calibri"/>
                <w:iCs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DE2B9C">
              <w:rPr>
                <w:rFonts w:ascii="Calibri" w:hAnsi="Calibri"/>
              </w:rPr>
            </w:r>
            <w:r w:rsidR="00DE2B9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5998795F" w14:textId="5B1E6088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76A3459" w14:textId="77777777" w:rsidR="00E85570" w:rsidRDefault="00E85570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3170BDE1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t>Schvaluji:</w:t>
            </w:r>
          </w:p>
          <w:p w14:paraId="5457CFB6" w14:textId="15D65FA5" w:rsidR="00B3207B" w:rsidRPr="0096295A" w:rsidRDefault="0096295A" w:rsidP="00B3207B">
            <w:pPr>
              <w:spacing w:after="120"/>
              <w:jc w:val="both"/>
              <w:rPr>
                <w:rFonts w:ascii="Calibri" w:hAnsi="Calibri" w:cs="Arial"/>
                <w:bCs/>
              </w:rPr>
            </w:pPr>
            <w:r w:rsidRPr="0096295A">
              <w:rPr>
                <w:rFonts w:ascii="Calibri" w:hAnsi="Calibri" w:cs="Arial"/>
                <w:bCs/>
              </w:rPr>
              <w:t xml:space="preserve">Souhlasím. Stav byl zjištěn až po odkrytí původního pohledu. </w:t>
            </w:r>
            <w:r>
              <w:rPr>
                <w:rFonts w:ascii="Calibri" w:hAnsi="Calibri" w:cs="Arial"/>
                <w:bCs/>
              </w:rPr>
              <w:t>Popsané technické řešení je nutné pro funkční provedení parozábrany.</w:t>
            </w:r>
          </w:p>
          <w:p w14:paraId="47C8610B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D3FBA5C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42FB88DD" w14:textId="77777777" w:rsidR="00C32517" w:rsidRDefault="00287C4E" w:rsidP="00287C4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V projektové dokumentaci byla navržena skladba </w:t>
            </w:r>
            <w:r w:rsidR="00244730">
              <w:rPr>
                <w:rFonts w:ascii="Calibri" w:hAnsi="Calibri" w:cs="Arial"/>
                <w:color w:val="000000" w:themeColor="text1"/>
              </w:rPr>
              <w:t>prováděná na dřevěné krokve</w:t>
            </w:r>
            <w:r>
              <w:rPr>
                <w:rFonts w:ascii="Calibri" w:hAnsi="Calibri" w:cs="Arial"/>
                <w:color w:val="000000" w:themeColor="text1"/>
              </w:rPr>
              <w:t xml:space="preserve">. </w:t>
            </w:r>
          </w:p>
          <w:p w14:paraId="20540940" w14:textId="29454C4E" w:rsidR="00287C4E" w:rsidRDefault="00113EC2" w:rsidP="00287C4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Při odkrývání konstrukcí během provádění stavby byla zjištěna jiná skutečnost</w:t>
            </w:r>
            <w:r w:rsidR="00244730">
              <w:rPr>
                <w:rFonts w:ascii="Calibri" w:hAnsi="Calibri" w:cs="Arial"/>
                <w:color w:val="000000" w:themeColor="text1"/>
              </w:rPr>
              <w:t>,</w:t>
            </w:r>
            <w:r>
              <w:rPr>
                <w:rFonts w:ascii="Calibri" w:hAnsi="Calibri" w:cs="Arial"/>
                <w:color w:val="000000" w:themeColor="text1"/>
              </w:rPr>
              <w:t xml:space="preserve"> a to obrácené ocelové krokve. </w:t>
            </w:r>
            <w:r w:rsidR="00C32517">
              <w:rPr>
                <w:rFonts w:ascii="Calibri" w:hAnsi="Calibri" w:cs="Arial"/>
                <w:color w:val="000000" w:themeColor="text1"/>
              </w:rPr>
              <w:t>Pro správné provedení uložení střešní fólie do skladby je nutné provést plošné dřevěné bednění jako podklad pro uložení vrstvy fólie.</w:t>
            </w:r>
            <w:r w:rsidR="007259E3">
              <w:rPr>
                <w:rFonts w:ascii="Calibri" w:hAnsi="Calibri" w:cs="Arial"/>
                <w:color w:val="000000" w:themeColor="text1"/>
              </w:rPr>
              <w:t xml:space="preserve"> Navržené </w:t>
            </w:r>
            <w:r w:rsidR="00C32517">
              <w:rPr>
                <w:rFonts w:ascii="Calibri" w:hAnsi="Calibri" w:cs="Arial"/>
                <w:color w:val="000000" w:themeColor="text1"/>
              </w:rPr>
              <w:t>Doplněním vrstvy bednění je zajištěno správné provedení střešní fólie bez defektů a případné degradac</w:t>
            </w:r>
            <w:r w:rsidR="007259E3">
              <w:rPr>
                <w:rFonts w:ascii="Calibri" w:hAnsi="Calibri" w:cs="Arial"/>
                <w:color w:val="000000" w:themeColor="text1"/>
              </w:rPr>
              <w:t>e</w:t>
            </w:r>
            <w:r w:rsidR="00C32517">
              <w:rPr>
                <w:rFonts w:ascii="Calibri" w:hAnsi="Calibri" w:cs="Arial"/>
                <w:color w:val="000000" w:themeColor="text1"/>
              </w:rPr>
              <w:t xml:space="preserve"> souvrství střechy. </w:t>
            </w:r>
          </w:p>
          <w:p w14:paraId="6BFC59EC" w14:textId="683EDB32" w:rsidR="00287C4E" w:rsidRDefault="00C32517" w:rsidP="00287C4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 xml:space="preserve">S navrženým řešením souhlasím. </w:t>
            </w:r>
          </w:p>
          <w:p w14:paraId="65E7E4C6" w14:textId="467BD476" w:rsidR="00287C4E" w:rsidRDefault="00287C4E" w:rsidP="00287C4E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5F4FD1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6B4449">
              <w:rPr>
                <w:rFonts w:ascii="Calibri" w:hAnsi="Calibri" w:cs="Arial"/>
                <w:color w:val="000000" w:themeColor="text1"/>
              </w:rPr>
              <w:t>d</w:t>
            </w:r>
            <w:r w:rsidRPr="005F4FD1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2043FEB9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6B8FD30D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07A07D6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9FF8B84" w14:textId="45E9DB5B" w:rsidR="00B3207B" w:rsidRPr="004A3E77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  <w:highlight w:val="yellow"/>
              </w:rPr>
            </w:pPr>
            <w:r w:rsidRPr="007259E3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24741F" w:rsidRPr="007259E3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DB86D02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773A9CCC" w14:textId="77777777" w:rsidR="00B3207B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1E9E2B5B" w14:textId="77777777" w:rsidR="00B3207B" w:rsidRPr="00952DB7" w:rsidRDefault="00B3207B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34F2159B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38965E33" w:rsidR="00B3207B" w:rsidRPr="00663D7A" w:rsidRDefault="00B3207B" w:rsidP="00B3207B">
            <w:pPr>
              <w:spacing w:after="120"/>
              <w:rPr>
                <w:rFonts w:ascii="Calibri" w:hAnsi="Calibri"/>
              </w:rPr>
            </w:pPr>
            <w:r w:rsidRPr="00663D7A">
              <w:rPr>
                <w:rFonts w:ascii="Calibri" w:hAnsi="Calibri"/>
              </w:rPr>
              <w:t>Rozpočet ZL č. 1</w:t>
            </w:r>
            <w:r w:rsidR="00663D7A" w:rsidRPr="00663D7A">
              <w:rPr>
                <w:rFonts w:ascii="Calibri" w:hAnsi="Calibri"/>
              </w:rPr>
              <w:t>4</w:t>
            </w:r>
          </w:p>
          <w:p w14:paraId="7B388227" w14:textId="7BA88A70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663D7A">
              <w:rPr>
                <w:rFonts w:ascii="Calibri" w:hAnsi="Calibri"/>
              </w:rPr>
              <w:t>Změnový list č. 1</w:t>
            </w:r>
            <w:r w:rsidR="00663D7A" w:rsidRPr="00663D7A">
              <w:rPr>
                <w:rFonts w:ascii="Calibri" w:hAnsi="Calibri"/>
              </w:rPr>
              <w:t>4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2F367014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557E9B">
              <w:rPr>
                <w:rFonts w:ascii="Calibri" w:hAnsi="Calibri"/>
                <w:sz w:val="28"/>
              </w:rPr>
              <w:t>1</w:t>
            </w:r>
            <w:r w:rsidR="00085742">
              <w:rPr>
                <w:rFonts w:ascii="Calibri" w:hAnsi="Calibri"/>
                <w:sz w:val="28"/>
              </w:rPr>
              <w:t>4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41955D9D" w:rsidR="00B3207B" w:rsidRPr="000D7E15" w:rsidRDefault="00663D7A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557E9B">
              <w:rPr>
                <w:rFonts w:ascii="Calibri" w:hAnsi="Calibri"/>
              </w:rPr>
              <w:t>.11</w:t>
            </w:r>
            <w:r w:rsidR="00851F73">
              <w:rPr>
                <w:rFonts w:ascii="Calibri" w:hAnsi="Calibri"/>
              </w:rPr>
              <w:t>.2021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1A267D20" w14:textId="77777777" w:rsidR="00085742" w:rsidRDefault="00085742" w:rsidP="00085742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Chodby dřevěný záklop</w:t>
            </w: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73BD19DE" w14:textId="77777777" w:rsidR="00663D7A" w:rsidRDefault="00663D7A" w:rsidP="00663D7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V chodbách objektu v 3.NP po odkrytí SDK zjištěny obrácené uložené ocelové krokve, kdy při aplikaci jednoho dřevěného záklopu by docházelo k průhybům střešní folie a rizikům soustředění vody na průhybech folie. Tuto folii je nutno uložit na dřevěné bednění, aby k průhybům folie nedocházelo. Následné opatření kontralatěmi a druhým záklopem dle PD pro zajištění odvětrávání stř.pláště.</w:t>
            </w:r>
          </w:p>
          <w:p w14:paraId="05ABC7E9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490F994A" w14:textId="77777777" w:rsidR="00B96D2E" w:rsidRDefault="00B96D2E" w:rsidP="0024741F">
            <w:pPr>
              <w:spacing w:after="120"/>
              <w:rPr>
                <w:rFonts w:cstheme="minorHAnsi"/>
              </w:rPr>
            </w:pPr>
          </w:p>
          <w:p w14:paraId="730FA7B2" w14:textId="2A20D81D" w:rsidR="00B96D2E" w:rsidRPr="00B3207B" w:rsidRDefault="00B96D2E" w:rsidP="0024741F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061CD962" w:rsidR="00B3207B" w:rsidRPr="000D7E15" w:rsidRDefault="00B3207B" w:rsidP="00516306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0B6705B7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</w:t>
            </w:r>
            <w:r w:rsidR="00E85570">
              <w:rPr>
                <w:rFonts w:ascii="Calibri" w:hAnsi="Calibri"/>
              </w:rPr>
              <w:t>0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663D7A" w:rsidRDefault="00B3207B" w:rsidP="00B3207B">
            <w:pPr>
              <w:rPr>
                <w:rFonts w:ascii="Calibri" w:hAnsi="Calibri"/>
              </w:rPr>
            </w:pPr>
            <w:r w:rsidRPr="00663D7A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663D7A" w:rsidRDefault="00F3269A" w:rsidP="00B3207B">
            <w:pPr>
              <w:rPr>
                <w:rFonts w:ascii="Calibri" w:hAnsi="Calibri"/>
              </w:rPr>
            </w:pPr>
          </w:p>
          <w:p w14:paraId="1C5C0DF2" w14:textId="0D5DEDA1" w:rsidR="00B3207B" w:rsidRPr="00663D7A" w:rsidRDefault="00E41C8E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663D7A">
              <w:rPr>
                <w:rFonts w:ascii="Calibri" w:hAnsi="Calibri"/>
                <w:b/>
              </w:rPr>
              <w:t>14.762</w:t>
            </w:r>
            <w:r w:rsidR="00B3207B" w:rsidRPr="00663D7A">
              <w:rPr>
                <w:rFonts w:ascii="Calibri" w:hAnsi="Calibri"/>
                <w:b/>
              </w:rPr>
              <w:t>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663D7A" w:rsidRDefault="00B3207B" w:rsidP="00B3207B">
            <w:pPr>
              <w:rPr>
                <w:rFonts w:ascii="Calibri" w:hAnsi="Calibri"/>
              </w:rPr>
            </w:pPr>
            <w:r w:rsidRPr="00663D7A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663D7A" w:rsidRDefault="00F3269A" w:rsidP="00B3207B">
            <w:pPr>
              <w:rPr>
                <w:rFonts w:ascii="Calibri" w:hAnsi="Calibri"/>
              </w:rPr>
            </w:pPr>
          </w:p>
          <w:p w14:paraId="128FC646" w14:textId="43045313" w:rsidR="00B3207B" w:rsidRPr="00663D7A" w:rsidRDefault="004A5970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663D7A">
              <w:rPr>
                <w:rFonts w:ascii="Calibri" w:hAnsi="Calibri" w:cs="Calibri"/>
                <w:b/>
              </w:rPr>
              <w:t>1</w:t>
            </w:r>
            <w:r w:rsidR="00C1145A" w:rsidRPr="00663D7A">
              <w:rPr>
                <w:rFonts w:ascii="Calibri" w:hAnsi="Calibri" w:cs="Calibri"/>
                <w:b/>
              </w:rPr>
              <w:t>04</w:t>
            </w:r>
            <w:r w:rsidR="00851F73" w:rsidRPr="00663D7A">
              <w:rPr>
                <w:rFonts w:ascii="Calibri" w:hAnsi="Calibri" w:cs="Calibri"/>
                <w:b/>
              </w:rPr>
              <w:t>.</w:t>
            </w:r>
            <w:r w:rsidR="00C1145A" w:rsidRPr="00663D7A">
              <w:rPr>
                <w:rFonts w:ascii="Calibri" w:hAnsi="Calibri" w:cs="Calibri"/>
                <w:b/>
              </w:rPr>
              <w:t>337</w:t>
            </w:r>
            <w:r w:rsidR="00851F73" w:rsidRPr="00663D7A">
              <w:rPr>
                <w:rFonts w:ascii="Calibri" w:hAnsi="Calibri" w:cs="Calibri"/>
                <w:b/>
              </w:rPr>
              <w:t>,</w:t>
            </w:r>
            <w:r w:rsidR="00C1145A" w:rsidRPr="00663D7A">
              <w:rPr>
                <w:rFonts w:ascii="Calibri" w:hAnsi="Calibri" w:cs="Calibri"/>
                <w:b/>
              </w:rPr>
              <w:t>84</w:t>
            </w:r>
            <w:r w:rsidR="00851F73" w:rsidRPr="00663D7A">
              <w:rPr>
                <w:rFonts w:ascii="Calibri" w:hAnsi="Calibri" w:cs="Calibri"/>
                <w:b/>
              </w:rPr>
              <w:t xml:space="preserve"> </w:t>
            </w:r>
            <w:r w:rsidR="00851F73" w:rsidRPr="00663D7A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663D7A" w:rsidRDefault="00660B60" w:rsidP="004A3E77">
            <w:pPr>
              <w:spacing w:after="120"/>
              <w:rPr>
                <w:rFonts w:ascii="Calibri" w:hAnsi="Calibri"/>
              </w:rPr>
            </w:pPr>
            <w:r w:rsidRPr="00663D7A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663D7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44712D5B" w:rsidR="00660B60" w:rsidRPr="00663D7A" w:rsidRDefault="00C1145A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663D7A">
              <w:rPr>
                <w:rFonts w:ascii="Calibri" w:hAnsi="Calibri" w:cs="Calibri"/>
                <w:b/>
              </w:rPr>
              <w:t>89.575</w:t>
            </w:r>
            <w:r w:rsidR="00851F73" w:rsidRPr="00663D7A">
              <w:rPr>
                <w:rFonts w:ascii="Calibri" w:hAnsi="Calibri" w:cs="Calibri"/>
                <w:b/>
              </w:rPr>
              <w:t>,</w:t>
            </w:r>
            <w:r w:rsidRPr="00663D7A">
              <w:rPr>
                <w:rFonts w:ascii="Calibri" w:hAnsi="Calibri" w:cs="Calibri"/>
                <w:b/>
              </w:rPr>
              <w:t>84</w:t>
            </w:r>
            <w:r w:rsidR="0024741F" w:rsidRPr="00663D7A">
              <w:rPr>
                <w:rFonts w:ascii="Calibri" w:hAnsi="Calibri" w:cs="Calibri"/>
                <w:b/>
              </w:rPr>
              <w:t xml:space="preserve"> </w:t>
            </w:r>
            <w:r w:rsidR="0024741F" w:rsidRPr="00663D7A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663D7A" w:rsidRDefault="00660B60" w:rsidP="004A3E77">
            <w:pPr>
              <w:spacing w:after="120"/>
              <w:rPr>
                <w:rFonts w:ascii="Calibri" w:hAnsi="Calibri"/>
              </w:rPr>
            </w:pPr>
            <w:r w:rsidRPr="00663D7A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663D7A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663D7A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663D7A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3FA3E62C" w:rsidR="00660B60" w:rsidRPr="000D7E15" w:rsidRDefault="00660B60" w:rsidP="00660B60">
            <w:pPr>
              <w:rPr>
                <w:rFonts w:ascii="Calibri" w:hAnsi="Calibri"/>
              </w:rPr>
            </w:pPr>
            <w:r w:rsidRPr="00590296">
              <w:rPr>
                <w:rFonts w:ascii="Calibri" w:hAnsi="Calibri"/>
              </w:rPr>
              <w:t xml:space="preserve">Datum: </w:t>
            </w:r>
            <w:r w:rsidR="00663D7A">
              <w:rPr>
                <w:rFonts w:ascii="Calibri" w:hAnsi="Calibri"/>
              </w:rPr>
              <w:t>16</w:t>
            </w:r>
            <w:r w:rsidR="00590296" w:rsidRPr="00590296">
              <w:rPr>
                <w:rFonts w:ascii="Calibri" w:hAnsi="Calibri"/>
              </w:rPr>
              <w:t>. 11. 2021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6DF38D9B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590296">
              <w:rPr>
                <w:rFonts w:ascii="Calibri" w:hAnsi="Calibri"/>
              </w:rPr>
              <w:t xml:space="preserve"> </w:t>
            </w:r>
            <w:r w:rsidR="00663D7A">
              <w:rPr>
                <w:rFonts w:ascii="Calibri" w:hAnsi="Calibri"/>
              </w:rPr>
              <w:t>16</w:t>
            </w:r>
            <w:r w:rsidR="00590296" w:rsidRPr="00590296">
              <w:rPr>
                <w:rFonts w:ascii="Calibri" w:hAnsi="Calibri"/>
              </w:rPr>
              <w:t>. 11. 2021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73CF7" w14:textId="77777777" w:rsidR="00DE2B9C" w:rsidRDefault="00DE2B9C" w:rsidP="00660B60">
      <w:pPr>
        <w:spacing w:after="0" w:line="240" w:lineRule="auto"/>
      </w:pPr>
      <w:r>
        <w:separator/>
      </w:r>
    </w:p>
  </w:endnote>
  <w:endnote w:type="continuationSeparator" w:id="0">
    <w:p w14:paraId="5F0D9D49" w14:textId="77777777" w:rsidR="00DE2B9C" w:rsidRDefault="00DE2B9C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C558A" w14:textId="77777777" w:rsidR="00DE2B9C" w:rsidRDefault="00DE2B9C" w:rsidP="00660B60">
      <w:pPr>
        <w:spacing w:after="0" w:line="240" w:lineRule="auto"/>
      </w:pPr>
      <w:r>
        <w:separator/>
      </w:r>
    </w:p>
  </w:footnote>
  <w:footnote w:type="continuationSeparator" w:id="0">
    <w:p w14:paraId="16BFCAFB" w14:textId="77777777" w:rsidR="00DE2B9C" w:rsidRDefault="00DE2B9C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74D83"/>
    <w:rsid w:val="00085742"/>
    <w:rsid w:val="000F678A"/>
    <w:rsid w:val="00113EC2"/>
    <w:rsid w:val="00134F64"/>
    <w:rsid w:val="00153625"/>
    <w:rsid w:val="001F5CA0"/>
    <w:rsid w:val="00244730"/>
    <w:rsid w:val="0024741F"/>
    <w:rsid w:val="00265352"/>
    <w:rsid w:val="0027575A"/>
    <w:rsid w:val="00287C4E"/>
    <w:rsid w:val="003162B0"/>
    <w:rsid w:val="00367029"/>
    <w:rsid w:val="004A3E77"/>
    <w:rsid w:val="004A5970"/>
    <w:rsid w:val="00557E9B"/>
    <w:rsid w:val="00590296"/>
    <w:rsid w:val="0059221D"/>
    <w:rsid w:val="005A239D"/>
    <w:rsid w:val="00660B60"/>
    <w:rsid w:val="00663D7A"/>
    <w:rsid w:val="006B4449"/>
    <w:rsid w:val="006D0A0D"/>
    <w:rsid w:val="007259E3"/>
    <w:rsid w:val="00773B8E"/>
    <w:rsid w:val="00820AED"/>
    <w:rsid w:val="00851F73"/>
    <w:rsid w:val="008A303F"/>
    <w:rsid w:val="008D1D31"/>
    <w:rsid w:val="008F5B8F"/>
    <w:rsid w:val="0090690A"/>
    <w:rsid w:val="00942C89"/>
    <w:rsid w:val="0096295A"/>
    <w:rsid w:val="009C0A5A"/>
    <w:rsid w:val="009D4AEC"/>
    <w:rsid w:val="00A36234"/>
    <w:rsid w:val="00AA6101"/>
    <w:rsid w:val="00AE17C9"/>
    <w:rsid w:val="00B3207B"/>
    <w:rsid w:val="00B96D2E"/>
    <w:rsid w:val="00C05D01"/>
    <w:rsid w:val="00C1145A"/>
    <w:rsid w:val="00C32517"/>
    <w:rsid w:val="00D007B2"/>
    <w:rsid w:val="00D535ED"/>
    <w:rsid w:val="00DE2B9C"/>
    <w:rsid w:val="00E20BBC"/>
    <w:rsid w:val="00E41C8E"/>
    <w:rsid w:val="00E85570"/>
    <w:rsid w:val="00E8724C"/>
    <w:rsid w:val="00E97544"/>
    <w:rsid w:val="00ED2D0E"/>
    <w:rsid w:val="00F209DC"/>
    <w:rsid w:val="00F3269A"/>
    <w:rsid w:val="00F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053EA243-D0A9-477C-BB7F-AB67C62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Textbubliny">
    <w:name w:val="Balloon Text"/>
    <w:basedOn w:val="Normln"/>
    <w:link w:val="TextbublinyChar"/>
    <w:uiPriority w:val="99"/>
    <w:semiHidden/>
    <w:unhideWhenUsed/>
    <w:rsid w:val="0096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Chadimová Michaela - Energy Benefit Centre a.s.</dc:creator>
  <cp:keywords/>
  <dc:description/>
  <cp:lastModifiedBy>Krejčiříková Jaroslava</cp:lastModifiedBy>
  <cp:revision>2</cp:revision>
  <dcterms:created xsi:type="dcterms:W3CDTF">2021-12-07T12:40:00Z</dcterms:created>
  <dcterms:modified xsi:type="dcterms:W3CDTF">2021-12-07T12:40:00Z</dcterms:modified>
</cp:coreProperties>
</file>