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072" w:h="312" w:wrap="none" w:hAnchor="page" w:x="4763" w:y="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</w:rPr>
        <w:t>RÁMCOVÁ KUPNÍ SMLOUVA</w:t>
      </w:r>
      <w:bookmarkEnd w:id="0"/>
    </w:p>
    <w:p>
      <w:pPr>
        <w:pStyle w:val="Style4"/>
        <w:keepNext/>
        <w:keepLines/>
        <w:framePr w:w="2429" w:h="682" w:wrap="none" w:hAnchor="page" w:x="892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r>
        <w:rPr>
          <w:rStyle w:val="CharStyle5"/>
        </w:rPr>
        <w:t>iiiiiiiiiiuniiii</w:t>
      </w:r>
      <w:bookmarkEnd w:id="2"/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757" w:right="552" w:bottom="561" w:left="1402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414" w:val="left"/>
          <w:tab w:pos="1022" w:val="left"/>
          <w:tab w:pos="4838" w:val="left"/>
          <w:tab w:pos="6451" w:val="left"/>
        </w:tabs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Style w:val="CharStyle13"/>
          <w:sz w:val="16"/>
          <w:szCs w:val="16"/>
        </w:rPr>
        <w:t>„</w:t>
        <w:tab/>
        <w:t>,</w:t>
        <w:tab/>
        <w:t>, ,</w:t>
        <w:tab/>
        <w:t>‘</w:t>
        <w:tab/>
        <w:t>2021007844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180" w:lineRule="auto"/>
        <w:ind w:left="0" w:right="0" w:firstLine="900"/>
        <w:jc w:val="left"/>
      </w:pPr>
      <w:bookmarkStart w:id="4" w:name="bookmark4"/>
      <w:r>
        <w:rPr>
          <w:rStyle w:val="CharStyle3"/>
        </w:rPr>
        <w:t>uzavřena v souladu s ustanovení § 2079 a násl. zákona č. 89/201:</w:t>
      </w:r>
      <w:bookmarkEnd w:id="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6" w:name="bookmark6"/>
      <w:r>
        <w:rPr>
          <w:rStyle w:val="CharStyle3"/>
        </w:rPr>
        <w:t>zákoník, mezi níže uvedenými smluvními stranami</w:t>
      </w:r>
      <w:bookmarkEnd w:id="6"/>
    </w:p>
    <w:tbl>
      <w:tblPr>
        <w:tblOverlap w:val="never"/>
        <w:jc w:val="left"/>
        <w:tblLayout w:type="fixed"/>
      </w:tblPr>
      <w:tblGrid>
        <w:gridCol w:w="2746"/>
        <w:gridCol w:w="6389"/>
      </w:tblGrid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MUDr. Hana Albrechtová, ředitelka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spacing w:val="4"/>
                <w:shd w:val="clear" w:color="auto" w:fill="000000"/>
              </w:rPr>
              <w:t>........</w:t>
            </w:r>
            <w:r>
              <w:rPr>
                <w:rStyle w:val="CharStyle20"/>
                <w:spacing w:val="5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</w:t>
            </w:r>
            <w:r>
              <w:rPr>
                <w:rStyle w:val="CharStyle20"/>
                <w:spacing w:val="1"/>
                <w:shd w:val="clear" w:color="auto" w:fill="000000"/>
              </w:rPr>
              <w:t>.........</w:t>
            </w: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0"/>
                <w:spacing w:val="2"/>
                <w:u w:val="single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CharStyle20"/>
                <w:spacing w:val="3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20"/>
                <w:spacing w:val="2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0"/>
                <w:spacing w:val="3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7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​....</w:t>
            </w:r>
            <w:r>
              <w:rPr>
                <w:rStyle w:val="CharStyle20"/>
                <w:spacing w:val="1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​.......​</w:t>
            </w:r>
            <w:r>
              <w:rPr>
                <w:rStyle w:val="CharStyle20"/>
                <w:spacing w:val="6"/>
                <w:shd w:val="clear" w:color="auto" w:fill="000000"/>
              </w:rPr>
              <w:t>...</w:t>
            </w:r>
            <w:r>
              <w:rPr>
                <w:rStyle w:val="CharStyle20"/>
                <w:spacing w:val="7"/>
                <w:shd w:val="clear" w:color="auto" w:fill="000000"/>
              </w:rPr>
              <w:t>...</w:t>
            </w:r>
            <w:r>
              <w:rPr>
                <w:rStyle w:val="CharStyle20"/>
                <w:shd w:val="clear" w:color="auto" w:fill="000000"/>
              </w:rPr>
              <w:t>​......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MONETA Money Bank, a.s., č. ú.</w:t>
            </w:r>
            <w:r>
              <w:rPr>
                <w:rStyle w:val="CharStyle20"/>
                <w:shd w:val="clear" w:color="auto" w:fill="000000"/>
              </w:rPr>
              <w:t>.​</w:t>
            </w:r>
            <w:r>
              <w:rPr>
                <w:rStyle w:val="CharStyle20"/>
                <w:spacing w:val="1"/>
                <w:shd w:val="clear" w:color="auto" w:fill="000000"/>
              </w:rPr>
              <w:t>.............</w:t>
            </w:r>
            <w:r>
              <w:rPr>
                <w:rStyle w:val="CharStyle20"/>
                <w:spacing w:val="2"/>
                <w:shd w:val="clear" w:color="auto" w:fill="000000"/>
              </w:rPr>
              <w:t>.............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8"/>
          <w:szCs w:val="18"/>
        </w:rPr>
      </w:pPr>
      <w:r>
        <w:rPr>
          <w:rStyle w:val="CharStyle16"/>
        </w:rPr>
        <w:t xml:space="preserve">(dále jen </w:t>
      </w:r>
      <w:r>
        <w:rPr>
          <w:rStyle w:val="CharStyle16"/>
          <w:i/>
          <w:iCs/>
          <w:sz w:val="18"/>
          <w:szCs w:val="18"/>
        </w:rPr>
        <w:t>„kupující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46"/>
        <w:gridCol w:w="6384"/>
      </w:tblGrid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BW General s.r.o.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Budečská 1010/18, 120 00 Praha 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Dr. Radimem Dvořákem, jednatelem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spacing w:val="6"/>
                <w:shd w:val="clear" w:color="auto" w:fill="000000"/>
              </w:rPr>
              <w:t>....</w:t>
            </w:r>
            <w:r>
              <w:rPr>
                <w:rStyle w:val="CharStyle20"/>
                <w:spacing w:val="7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1"/>
                <w:shd w:val="clear" w:color="auto" w:fill="000000"/>
              </w:rPr>
              <w:t>...</w:t>
            </w:r>
            <w:r>
              <w:rPr>
                <w:rStyle w:val="CharStyle20"/>
                <w:spacing w:val="2"/>
                <w:shd w:val="clear" w:color="auto" w:fill="000000"/>
              </w:rPr>
              <w:t>........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1"/>
                <w:shd w:val="clear" w:color="auto" w:fill="000000"/>
              </w:rPr>
              <w:t>.......</w:t>
            </w:r>
            <w:r>
              <w:rPr>
                <w:rStyle w:val="CharStyle20"/>
                <w:spacing w:val="2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...</w:t>
            </w:r>
            <w:r>
              <w:rPr>
                <w:rStyle w:val="CharStyle20"/>
                <w:spacing w:val="9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​....</w:t>
            </w:r>
            <w:r>
              <w:rPr>
                <w:rStyle w:val="CharStyle20"/>
                <w:spacing w:val="1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​.......​.......​......</w:t>
            </w:r>
          </w:p>
        </w:tc>
      </w:tr>
      <w:tr>
        <w:trPr>
          <w:trHeight w:val="8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IČO: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DIČ: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24811921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CZ24811921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Městský soud v Praze sp. zn. C 179509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KB a.s., číslo účtu</w:t>
            </w:r>
            <w:r>
              <w:rPr>
                <w:rStyle w:val="CharStyle20"/>
                <w:shd w:val="clear" w:color="auto" w:fill="000000"/>
              </w:rPr>
              <w:t>.​</w:t>
            </w:r>
            <w:r>
              <w:rPr>
                <w:rStyle w:val="CharStyle20"/>
                <w:spacing w:val="8"/>
                <w:shd w:val="clear" w:color="auto" w:fill="000000"/>
              </w:rPr>
              <w:t>.....</w:t>
            </w:r>
            <w:r>
              <w:rPr>
                <w:rStyle w:val="CharStyle20"/>
                <w:spacing w:val="9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​...........................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6"/>
        </w:rPr>
        <w:t xml:space="preserve">(dále jen </w:t>
      </w:r>
      <w:r>
        <w:rPr>
          <w:rStyle w:val="CharStyle16"/>
          <w:i/>
          <w:iCs/>
          <w:sz w:val="18"/>
          <w:szCs w:val="18"/>
        </w:rPr>
        <w:t>„prodávající</w:t>
      </w:r>
    </w:p>
    <w:p>
      <w:pPr>
        <w:widowControl w:val="0"/>
        <w:spacing w:after="4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line="302" w:lineRule="auto"/>
        <w:ind w:left="420" w:right="0" w:hanging="420"/>
        <w:jc w:val="both"/>
      </w:pPr>
      <w:r>
        <w:rPr>
          <w:rStyle w:val="CharStyle10"/>
        </w:rPr>
        <w:t xml:space="preserve">Prodávající je oprávněn na základě svého vlastnického práva nakládat se zbožím v podobě </w:t>
      </w:r>
      <w:r>
        <w:rPr>
          <w:rStyle w:val="CharStyle10"/>
          <w:b/>
          <w:bCs/>
          <w:sz w:val="17"/>
          <w:szCs w:val="17"/>
        </w:rPr>
        <w:t xml:space="preserve">jednorázových ochranných empírů pro členy výjezdových skupin ZZS, </w:t>
      </w:r>
      <w:r>
        <w:rPr>
          <w:rStyle w:val="CharStyle10"/>
        </w:rPr>
        <w:t>jejichž specifikace je uvedena v příloze č. 1, která je nedílnou součástí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10"/>
        </w:rPr>
        <w:t>Součástí zboží podle článku 1 této smlouvy jsou veškeré písemné doklady, které jsou potřebné k používání tohoto zboží.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0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kupujícího prodávajícímu,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0"/>
        </w:rPr>
        <w:t xml:space="preserve">Prodávající se zavazuje plnit svůj závazek k dodání zboží podle čl. 1 této smlouvy vždy nejpozději do </w:t>
      </w:r>
      <w:r>
        <w:rPr>
          <w:rStyle w:val="CharStyle10"/>
          <w:b/>
          <w:bCs/>
          <w:sz w:val="17"/>
          <w:szCs w:val="17"/>
        </w:rPr>
        <w:t xml:space="preserve">5 pracovních dnů </w:t>
      </w:r>
      <w:r>
        <w:rPr>
          <w:rStyle w:val="CharStyle10"/>
        </w:rPr>
        <w:t>ode dne účinnosti příslušné dílčí kupní smlouvy. Tento závazek se bude považovat za splněný po předání a převzetí příslušného zboží formou písemného předávacího protokolu, podepsaného oběma smluvními stranami. Místem plnění závazku prodávajícího k dodání příslušného zboží je centrální sklad v sídle kupujícího v Brně, Kamenice 798/1 d.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10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0" w:lineRule="auto"/>
        <w:ind w:left="440" w:right="0" w:hanging="440"/>
        <w:jc w:val="both"/>
      </w:pPr>
      <w:r>
        <w:rPr>
          <w:rStyle w:val="CharStyle10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40" w:right="0" w:hanging="440"/>
        <w:jc w:val="both"/>
      </w:pPr>
      <w:r>
        <w:rPr>
          <w:rStyle w:val="CharStyle10"/>
        </w:rPr>
        <w:t>Kupující se zavazuje zaplatit prodávajícímu za předmět koupě a prodeje podle čl. 1 této smlouvy kupní cenu podle přílohy č. 1 k této smlouvě. Součástí této ceny jsou veškeré náklady prodávajícího na splnění jeho závazku k dodání zboží podle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3" w:lineRule="auto"/>
        <w:ind w:left="440" w:right="0" w:hanging="440"/>
        <w:jc w:val="both"/>
      </w:pPr>
      <w:r>
        <w:rPr>
          <w:rStyle w:val="CharStyle10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rovněž elektronicky na e-mail 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0"/>
          <w:shd w:val="clear" w:color="auto" w:fill="000000"/>
          <w:lang w:val="en-US" w:eastAsia="en-US" w:bidi="en-US"/>
        </w:rPr>
        <w:t>.</w:t>
      </w:r>
      <w:r>
        <w:rPr>
          <w:rStyle w:val="CharStyle10"/>
          <w:shd w:val="clear" w:color="auto" w:fill="000000"/>
        </w:rPr>
        <w:t>​...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​...........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0"/>
          <w:color w:val="295CA2"/>
          <w:lang w:val="en-US" w:eastAsia="en-US" w:bidi="en-US"/>
        </w:rPr>
        <w:t xml:space="preserve"> </w:t>
      </w:r>
      <w:r>
        <w:rPr>
          <w:rStyle w:val="CharStyle10"/>
        </w:rPr>
        <w:t xml:space="preserve">Na faktuře musí být mimo jiné vždy uvedeno toto číslo veřejné zakázky, ke které se faktura vztahuje: </w:t>
      </w:r>
      <w:r>
        <w:rPr>
          <w:rStyle w:val="CharStyle10"/>
          <w:b/>
          <w:bCs/>
          <w:sz w:val="17"/>
          <w:szCs w:val="17"/>
        </w:rPr>
        <w:t xml:space="preserve">P21V00002848. </w:t>
      </w:r>
      <w:r>
        <w:rPr>
          <w:rStyle w:val="CharStyle10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40" w:right="0" w:hanging="440"/>
        <w:jc w:val="both"/>
      </w:pPr>
      <w:r>
        <w:rPr>
          <w:rStyle w:val="CharStyle10"/>
        </w:rPr>
        <w:t>S převodem zboží je podle čl. 1 této smlouvy spojena záruka za jeho jakost v trvání minimálně 12 měsíců ode dne předání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5 pracovních dnů od doručení příslušné písemné nebo e-mailové reklamace kupujícího. Vzhledem k povaze zboží podle čl. 1 této smlouvy lze přitom odstranění vady provést jen výměnou vadného zboží za nové bezvadné.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>Pro případ prodlení se splněním závazku prodávajícího k dodání zboží ve lhůtě podle čl. 4 této smlouvy se prodávající zavazuje platit kupujícímu smluvní pokutu ve výši 0,1 % z kupní ceny bez DPH nedodaného zboží podle čl. 7 této smlouvy. Pro případ prodlení s odstraněním vady ve lhůtě podle čl. 9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8" w:lineRule="auto"/>
        <w:ind w:left="440" w:right="0" w:hanging="440"/>
        <w:jc w:val="both"/>
      </w:pPr>
      <w:r>
        <w:rPr>
          <w:rStyle w:val="CharStyle10"/>
        </w:rPr>
        <w:t>Pro případ prodlení se splněním jeho závazku k dodání zboží ve lhůtě podle čl. 4 této smlouvy o více, než 2 týdny nebo pro případ výskytu neodstranitelné vady resp. výskytu 3 a více vad na jednom kusu zboží, a to i postupně, je kupující oprávněn odstoupit od příslušné dílčí kupní smlouvy podle čl. 3 této smlouvy i od této smlouvy s účinky ex tunc.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>Pro případ prodlení kupujícího se zaplacením kupní ceny nebo její části ve lhůtě podle čl. 8 této smlouvy se kupující zavazuje zaplatit prodávajícímu smluvní plutu ve výši 0,1 % z dlužné částky. Pro případ tohoto prodlení o víc, než 2 týdny, je prodávající oprávněn od této smlouvy odstoupit s účinky ex tunc.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3" w:lineRule="auto"/>
        <w:ind w:left="440" w:right="0" w:hanging="440"/>
        <w:jc w:val="both"/>
      </w:pPr>
      <w:r>
        <w:rPr>
          <w:rStyle w:val="CharStyle10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>Tato smlouva se uzavírá na základě návrhu na její uzavření ze strany kupujícího. Předpokladem uzavření této smlouvy je její písemná forma a dohoda o celém jejím obsahu jak je obsažen v jejích</w:t>
        <w:br w:type="page"/>
      </w:r>
      <w:r>
        <w:rPr>
          <w:rStyle w:val="CharStyle10"/>
        </w:rPr>
        <w:t>článcích 1 až 20. Kupující přitom předem vylučuje přijetí tohoto návrhu s dodatkem nebo odchylkou ve smyslu § 1740 odst. 3 občanského zákoníku.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60" w:right="0" w:hanging="460"/>
        <w:jc w:val="both"/>
      </w:pPr>
      <w:r>
        <w:rPr>
          <w:rStyle w:val="CharStyle10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uveřejněni smlouvy zajistí kupující.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0" w:lineRule="auto"/>
        <w:ind w:left="460" w:right="0" w:hanging="460"/>
        <w:jc w:val="both"/>
      </w:pPr>
      <w:r>
        <w:rPr>
          <w:rStyle w:val="CharStyle10"/>
        </w:rPr>
        <w:t>Tuto smlouvu lze změnit nebo zrušit pouze jinou písemnou dohodou obou smluvních stran. Kupující je oprávněn vypovědět smluvní vztah s 3-měsíční výpovědní dobou, která začíná běžet prvním dnem následujícího měsíce po doručení výpovědi druhé smluvní straně.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7" w:lineRule="auto"/>
        <w:ind w:left="460" w:right="0" w:hanging="460"/>
        <w:jc w:val="both"/>
      </w:pPr>
      <w:r>
        <w:rPr>
          <w:rStyle w:val="CharStyle10"/>
        </w:rPr>
        <w:t>Tato smlouva nabývá účinnosti po jejím podpisu oběma smluvními stranami dnem jejího uveřejnění v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0" w:right="0" w:firstLine="0"/>
        <w:jc w:val="left"/>
        <w:rPr>
          <w:sz w:val="17"/>
          <w:szCs w:val="17"/>
        </w:rPr>
      </w:pPr>
      <w:r>
        <w:rPr>
          <w:rStyle w:val="CharStyle10"/>
        </w:rPr>
        <w:t xml:space="preserve">Tato smlouva se uzavírá na dobu určitou, a to do </w:t>
      </w:r>
      <w:r>
        <w:rPr>
          <w:rStyle w:val="CharStyle10"/>
          <w:b/>
          <w:bCs/>
          <w:sz w:val="17"/>
          <w:szCs w:val="17"/>
        </w:rPr>
        <w:t>31. 12. 2022.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500" w:line="312" w:lineRule="auto"/>
        <w:ind w:left="460" w:right="0" w:hanging="460"/>
        <w:jc w:val="left"/>
      </w:pPr>
      <w:r>
        <w:rPr>
          <w:rStyle w:val="CharStyle10"/>
        </w:rPr>
        <w:t>Dáno ve dvou originálních písemných vyhotoveních, z nichž každá ze smluvních stran obdrží po jednom.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137" w:val="left"/>
          <w:tab w:pos="8151" w:val="left"/>
          <w:tab w:leader="underscore" w:pos="8569" w:val="left"/>
        </w:tabs>
        <w:bidi w:val="0"/>
        <w:spacing w:before="0" w:after="120" w:line="290" w:lineRule="auto"/>
        <w:ind w:left="0" w:right="0" w:firstLine="140"/>
        <w:jc w:val="left"/>
      </w:pPr>
      <w:r>
        <w:rPr>
          <w:rStyle w:val="CharStyle10"/>
        </w:rPr>
        <w:t>VBrnědne</w:t>
        <w:tab/>
        <w:t>V Praze dne 1. 12. 2021</w:t>
        <w:tab/>
      </w:r>
      <w:r>
        <w:rPr>
          <w:rStyle w:val="CharStyle10"/>
          <w:color w:val="5663A9"/>
        </w:rPr>
        <w:t>_</w:t>
        <w:tab/>
        <w:t>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r>
        <w:rPr>
          <w:rStyle w:val="CharStyle3"/>
          <w:color w:val="6CB2F1"/>
        </w:rPr>
        <w:t>B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</w:t>
      </w:r>
      <w:r>
        <w:rPr>
          <w:rStyle w:val="CharStyle3"/>
          <w:spacing w:val="4"/>
          <w:shd w:val="clear" w:color="auto" w:fill="000000"/>
        </w:rPr>
        <w:t>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.....</w:t>
      </w:r>
      <w:r>
        <w:rPr>
          <w:rStyle w:val="CharStyle3"/>
          <w:spacing w:val="9"/>
          <w:shd w:val="clear" w:color="auto" w:fill="000000"/>
        </w:rPr>
        <w:t>.</w:t>
      </w:r>
      <w:r>
        <w:rPr>
          <w:rStyle w:val="CharStyle3"/>
          <w:color w:val="6CB2F1"/>
        </w:rPr>
        <w:br/>
        <w:t>Bu</w:t>
      </w:r>
      <w:r>
        <w:rPr>
          <w:rStyle w:val="CharStyle3"/>
          <w:spacing w:val="2"/>
          <w:shd w:val="clear" w:color="auto" w:fill="000000"/>
        </w:rPr>
        <w:t>...........</w:t>
      </w:r>
      <w:r>
        <w:rPr>
          <w:rStyle w:val="CharStyle3"/>
          <w:spacing w:val="3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​.............</w:t>
      </w:r>
      <w:r>
        <w:rPr>
          <w:rStyle w:val="CharStyle3"/>
          <w:color w:val="6CB2F1"/>
        </w:rPr>
        <w:br/>
        <w:t>1</w:t>
      </w:r>
      <w:r>
        <w:rPr>
          <w:rStyle w:val="CharStyle3"/>
          <w:shd w:val="clear" w:color="auto" w:fill="000000"/>
        </w:rPr>
        <w:t>.....​.....​</w:t>
      </w:r>
      <w:r>
        <w:rPr>
          <w:rStyle w:val="CharStyle3"/>
          <w:spacing w:val="3"/>
          <w:shd w:val="clear" w:color="auto" w:fill="000000"/>
        </w:rPr>
        <w:t>...</w:t>
      </w:r>
      <w:r>
        <w:rPr>
          <w:rStyle w:val="CharStyle3"/>
          <w:spacing w:val="4"/>
          <w:shd w:val="clear" w:color="auto" w:fill="000000"/>
        </w:rPr>
        <w:t>.......</w:t>
      </w:r>
      <w:r>
        <w:rPr>
          <w:rStyle w:val="CharStyle3"/>
          <w:shd w:val="clear" w:color="auto" w:fill="000000"/>
        </w:rPr>
        <w:t>​..</w:t>
      </w:r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58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6" w:right="549" w:bottom="1026" w:left="140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31775" distB="5715" distL="114300" distR="3366135" simplePos="0" relativeHeight="125829378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margin">
                  <wp:posOffset>4742815</wp:posOffset>
                </wp:positionV>
                <wp:extent cx="1435735" cy="5181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0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10"/>
                                <w:i/>
                                <w:iCs/>
                                <w:sz w:val="18"/>
                                <w:szCs w:val="18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7.700000000000003pt;margin-top:373.44999999999999pt;width:113.05pt;height:40.800000000000004pt;z-index:-125829375;mso-wrap-distance-left:9.pt;mso-wrap-distance-top:18.25pt;mso-wrap-distance-right:265.05000000000001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0"/>
                        </w:rPr>
                        <w:t xml:space="preserve">MUDr. Hana Albrechtová ředitelka </w:t>
                      </w:r>
                      <w:r>
                        <w:rPr>
                          <w:rStyle w:val="CharStyle10"/>
                          <w:i/>
                          <w:iCs/>
                          <w:sz w:val="18"/>
                          <w:szCs w:val="18"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8600" distB="0" distL="3277870" distR="114300" simplePos="0" relativeHeight="125829380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margin">
                  <wp:posOffset>4739640</wp:posOffset>
                </wp:positionV>
                <wp:extent cx="1524000" cy="5270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Dr. Radim Dvořák, Ph.D. jednatel BW General s.r.o.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0"/>
                                <w:i/>
                                <w:iCs/>
                                <w:sz w:val="18"/>
                                <w:szCs w:val="18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6.80000000000001pt;margin-top:373.19999999999999pt;width:120.pt;height:41.5pt;z-index:-125829373;mso-wrap-distance-left:258.10000000000002pt;mso-wrap-distance-top:18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Dr. Radim Dvořák, Ph.D. jednatel BW General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0"/>
                          <w:i/>
                          <w:iCs/>
                          <w:sz w:val="18"/>
                          <w:szCs w:val="18"/>
                        </w:rPr>
                        <w:t>prodávající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3923030</wp:posOffset>
            </wp:positionV>
            <wp:extent cx="1810385" cy="92646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10385" cy="926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3200400</wp:posOffset>
            </wp:positionH>
            <wp:positionV relativeFrom="margin">
              <wp:posOffset>3529330</wp:posOffset>
            </wp:positionV>
            <wp:extent cx="2121535" cy="107886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21535" cy="107886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0" w:name="bookmark10"/>
      <w:r>
        <w:rPr>
          <w:rStyle w:val="CharStyle3"/>
          <w:color w:val="6CB2F1"/>
        </w:rPr>
        <w:t>I</w:t>
      </w:r>
      <w:r>
        <w:rPr>
          <w:rStyle w:val="CharStyle3"/>
          <w:spacing w:val="9"/>
          <w:shd w:val="clear" w:color="auto" w:fill="000000"/>
        </w:rPr>
        <w:t>...</w:t>
      </w:r>
      <w:r>
        <w:rPr>
          <w:rStyle w:val="CharStyle3"/>
          <w:spacing w:val="10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...............</w:t>
      </w:r>
      <w:bookmarkEnd w:id="1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89" w:right="0" w:bottom="118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89" w:right="1335" w:bottom="1189" w:left="1460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  <w:b/>
          <w:bCs/>
        </w:rPr>
        <w:t>Příloha č. 1 Specifikace, ceník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3"/>
          <w:i/>
          <w:iCs/>
          <w:sz w:val="18"/>
          <w:szCs w:val="18"/>
        </w:rPr>
        <w:t>Příloha č. 1</w:t>
      </w:r>
    </w:p>
    <w:p>
      <w:pPr>
        <w:pStyle w:val="Style5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2" w:name="bookmark12"/>
      <w:r>
        <w:rPr>
          <w:rStyle w:val="CharStyle56"/>
          <w:b/>
          <w:bCs/>
        </w:rPr>
        <w:t>SPECIFIKACE</w:t>
      </w:r>
      <w:bookmarkEnd w:id="12"/>
    </w:p>
    <w:tbl>
      <w:tblPr>
        <w:tblOverlap w:val="never"/>
        <w:jc w:val="center"/>
        <w:tblLayout w:type="fixed"/>
      </w:tblPr>
      <w:tblGrid>
        <w:gridCol w:w="5112"/>
        <w:gridCol w:w="3979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Údaje o zboží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rStyle w:val="CharStyle20"/>
                <w:b/>
                <w:bCs/>
              </w:rPr>
              <w:t>Název/označení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Typ/označení zboží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Jednorázový ochranný plášť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Výrobce zboží (název/obchodní jméno)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RUSBEK, Turecko</w:t>
            </w:r>
          </w:p>
        </w:tc>
      </w:tr>
    </w:tbl>
    <w:p>
      <w:pPr>
        <w:widowControl w:val="0"/>
        <w:spacing w:after="199" w:line="1" w:lineRule="exact"/>
      </w:pPr>
    </w:p>
    <w:tbl>
      <w:tblPr>
        <w:tblOverlap w:val="never"/>
        <w:jc w:val="center"/>
        <w:tblLayout w:type="fixed"/>
      </w:tblPr>
      <w:tblGrid>
        <w:gridCol w:w="5794"/>
        <w:gridCol w:w="3307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</w:pPr>
            <w:r>
              <w:rPr>
                <w:rStyle w:val="CharStyle20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Účastníkem nabízená hodnota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Ochranný prostředek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Zdravotně nezávadný materiál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Pružné náplety na koncích rukávů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Ukončení u krku je zajištěno vázacími tkanicemi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Plášť/empír se fixuje systémem vázacích tkanic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Barva modrá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Snadné a rychlé použití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Materiál: netkaná textilie 100% PP 40 g/m</w:t>
            </w:r>
            <w:r>
              <w:rPr>
                <w:rStyle w:val="CharStyle20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Velikost univerzální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Balení: 1ks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ano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55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14" w:name="bookmark14"/>
      <w:r>
        <w:rPr>
          <w:rStyle w:val="CharStyle56"/>
          <w:b/>
          <w:bCs/>
        </w:rPr>
        <w:t>CENÍK</w:t>
      </w:r>
      <w:bookmarkEnd w:id="14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53" w:right="0" w:firstLine="0"/>
        <w:jc w:val="left"/>
      </w:pPr>
      <w:r>
        <w:rPr>
          <w:rStyle w:val="CharStyle16"/>
          <w:b/>
          <w:bCs/>
        </w:rPr>
        <w:t>Jednorázové ochranné empíry pro členy výjezdových skupin ZZS JMK</w:t>
      </w:r>
    </w:p>
    <w:tbl>
      <w:tblPr>
        <w:tblOverlap w:val="never"/>
        <w:jc w:val="center"/>
        <w:tblLayout w:type="fixed"/>
      </w:tblPr>
      <w:tblGrid>
        <w:gridCol w:w="5563"/>
        <w:gridCol w:w="3360"/>
      </w:tblGrid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Cena za 1 ks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15,00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3,15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Cena za 1 ks v Kč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20"/>
                <w:b/>
                <w:bCs/>
                <w:sz w:val="17"/>
                <w:szCs w:val="17"/>
              </w:rPr>
              <w:t>18,15</w:t>
            </w:r>
          </w:p>
        </w:tc>
      </w:tr>
    </w:tbl>
    <w:sectPr>
      <w:footerReference w:type="default" r:id="rId11"/>
      <w:footnotePr>
        <w:pos w:val="pageBottom"/>
        <w:numFmt w:val="decimal"/>
        <w:numRestart w:val="continuous"/>
      </w:footnotePr>
      <w:pgSz w:w="11900" w:h="16840"/>
      <w:pgMar w:top="850" w:right="1334" w:bottom="908" w:left="1464" w:header="422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10128250</wp:posOffset>
              </wp:positionV>
              <wp:extent cx="45720" cy="793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Style w:val="CharStyle7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8.25pt;margin-top:797.5pt;width:3.6000000000000001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10256520</wp:posOffset>
              </wp:positionV>
              <wp:extent cx="2023745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2374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29_2021 Jednorázové ochranné empiry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3.600000000000009pt;margin-top:807.60000000000002pt;width:159.34999999999999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29_2021 Jednorázové ochranné empiry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10273665</wp:posOffset>
              </wp:positionV>
              <wp:extent cx="224028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028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</w:rPr>
                            <w:t>29_2021 Jednorázové ochranné empíry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049999999999997pt;margin-top:808.95000000000005pt;width:176.40000000000001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</w:rPr>
                      <w:t>29_2021 Jednorázové ochranné empíry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10273665</wp:posOffset>
              </wp:positionV>
              <wp:extent cx="2240280" cy="1187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028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</w:rPr>
                            <w:t>29_2021 Jednorázové ochranné empíry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1.049999999999997pt;margin-top:808.95000000000005pt;width:176.40000000000001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</w:rPr>
                      <w:t>29_2021 Jednorázové ochranné empíry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6">
    <w:name w:val="Nadpis #2_"/>
    <w:basedOn w:val="DefaultParagraphFont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auto"/>
      <w:spacing w:line="230" w:lineRule="auto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220"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after="220"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5">
    <w:name w:val="Nadpis #2"/>
    <w:basedOn w:val="Normal"/>
    <w:link w:val="CharStyle56"/>
    <w:pPr>
      <w:widowControl w:val="0"/>
      <w:shd w:val="clear" w:color="auto" w:fill="auto"/>
      <w:spacing w:after="31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footer" Target="footer3.xml"/></Relationships>
</file>