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B424" w14:textId="77777777"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1B49062A" w14:textId="6C3EA5B2" w:rsidR="009D2B69" w:rsidRDefault="009D2B69" w:rsidP="00F73633">
      <w:pPr>
        <w:pStyle w:val="Zkladntext"/>
        <w:tabs>
          <w:tab w:val="left" w:pos="1985"/>
        </w:tabs>
        <w:ind w:left="567" w:hanging="567"/>
        <w:rPr>
          <w:b/>
        </w:rPr>
      </w:pPr>
      <w:r w:rsidRPr="00F73633">
        <w:rPr>
          <w:b/>
          <w:bCs/>
        </w:rPr>
        <w:t>1.</w:t>
      </w:r>
      <w:r w:rsidR="006E26E3">
        <w:rPr>
          <w:b/>
          <w:bCs/>
        </w:rPr>
        <w:tab/>
      </w:r>
      <w:proofErr w:type="spellStart"/>
      <w:r w:rsidR="00C11AAD">
        <w:rPr>
          <w:b/>
          <w:bCs/>
        </w:rPr>
        <w:t>Technofiber</w:t>
      </w:r>
      <w:proofErr w:type="spellEnd"/>
      <w:r w:rsidR="00C11AAD">
        <w:rPr>
          <w:b/>
          <w:bCs/>
        </w:rPr>
        <w:t>, s. r. o</w:t>
      </w:r>
      <w:r w:rsidR="006E26E3">
        <w:rPr>
          <w:b/>
          <w:bCs/>
        </w:rPr>
        <w:t>.</w:t>
      </w:r>
    </w:p>
    <w:p w14:paraId="5B7E4921" w14:textId="2FFE4EFD" w:rsidR="009D2B69" w:rsidRDefault="00714548" w:rsidP="00F73633">
      <w:pPr>
        <w:pStyle w:val="Zkladntext"/>
        <w:tabs>
          <w:tab w:val="left" w:pos="1985"/>
        </w:tabs>
        <w:ind w:left="567" w:hanging="567"/>
      </w:pPr>
      <w:r>
        <w:tab/>
      </w:r>
      <w:r w:rsidR="009D2B69">
        <w:t>adresa sídla:</w:t>
      </w:r>
      <w:r w:rsidR="006E26E3">
        <w:t xml:space="preserve"> </w:t>
      </w:r>
      <w:r w:rsidR="00C11AAD">
        <w:t xml:space="preserve">Bulharská 2172/122, 612 </w:t>
      </w:r>
      <w:proofErr w:type="gramStart"/>
      <w:r w:rsidR="00C11AAD">
        <w:t>00  Brno</w:t>
      </w:r>
      <w:proofErr w:type="gramEnd"/>
      <w:r w:rsidR="00C11AAD">
        <w:t>, Královo Pole</w:t>
      </w:r>
      <w:r w:rsidR="009D2B69">
        <w:tab/>
      </w:r>
    </w:p>
    <w:p w14:paraId="16C868F5" w14:textId="2415E036" w:rsidR="009D2B69" w:rsidRDefault="00714548" w:rsidP="00F73633">
      <w:pPr>
        <w:pStyle w:val="Zkladntext"/>
        <w:tabs>
          <w:tab w:val="left" w:pos="1985"/>
        </w:tabs>
        <w:ind w:left="567" w:hanging="567"/>
      </w:pPr>
      <w:r>
        <w:tab/>
      </w:r>
      <w:r w:rsidR="009D2B69">
        <w:t>IČ:</w:t>
      </w:r>
      <w:r w:rsidR="006E26E3">
        <w:t xml:space="preserve"> </w:t>
      </w:r>
      <w:r w:rsidR="00C11AAD">
        <w:t>26224585</w:t>
      </w:r>
      <w:r w:rsidR="009D2B69">
        <w:tab/>
      </w:r>
    </w:p>
    <w:p w14:paraId="216F3D0C" w14:textId="0C123B12" w:rsidR="0099272E" w:rsidRDefault="00714548" w:rsidP="0099272E">
      <w:pPr>
        <w:pStyle w:val="Zkladntext"/>
        <w:tabs>
          <w:tab w:val="left" w:pos="1985"/>
        </w:tabs>
        <w:ind w:left="567" w:hanging="567"/>
      </w:pPr>
      <w:r>
        <w:tab/>
      </w:r>
      <w:r w:rsidR="009D2B69">
        <w:t xml:space="preserve">zastoupená: </w:t>
      </w:r>
      <w:r w:rsidR="001A3F1E">
        <w:t>x</w:t>
      </w:r>
      <w:r w:rsidR="00C11AAD">
        <w:t>, jednatelem</w:t>
      </w:r>
    </w:p>
    <w:p w14:paraId="4385B81F" w14:textId="77777777" w:rsidR="003A4812" w:rsidRDefault="005A615B" w:rsidP="0099272E">
      <w:pPr>
        <w:pStyle w:val="Zkladntext"/>
        <w:tabs>
          <w:tab w:val="left" w:pos="1985"/>
        </w:tabs>
        <w:ind w:left="567" w:hanging="567"/>
      </w:pPr>
      <w:r>
        <w:tab/>
      </w:r>
      <w:r w:rsidR="009D2B69">
        <w:rPr>
          <w:bCs/>
        </w:rPr>
        <w:t>(dále jen</w:t>
      </w:r>
      <w:r w:rsidR="009D2B69">
        <w:rPr>
          <w:b/>
        </w:rPr>
        <w:t xml:space="preserve"> „příjemce“</w:t>
      </w:r>
      <w:r w:rsidR="0099272E" w:rsidRPr="0099272E">
        <w:t>)</w:t>
      </w:r>
      <w:r w:rsidR="0070173D">
        <w:rPr>
          <w:b/>
        </w:rPr>
        <w:t xml:space="preserve"> </w:t>
      </w:r>
    </w:p>
    <w:p w14:paraId="7BF55107" w14:textId="77777777" w:rsidR="009D2B69" w:rsidRPr="00B910F7" w:rsidRDefault="009D2B69" w:rsidP="00F73633">
      <w:pPr>
        <w:pStyle w:val="Zkladntext"/>
      </w:pPr>
      <w:r w:rsidRPr="00B910F7">
        <w:t>a</w:t>
      </w:r>
    </w:p>
    <w:p w14:paraId="0D327C99" w14:textId="77777777" w:rsidR="003A4812" w:rsidRDefault="003A4812" w:rsidP="00F73633">
      <w:pPr>
        <w:pStyle w:val="Zkladntext"/>
      </w:pPr>
    </w:p>
    <w:p w14:paraId="64E2A138" w14:textId="571DDD11" w:rsidR="009D2B69" w:rsidRPr="00981A5E"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6E26E3">
        <w:rPr>
          <w:b/>
          <w:bCs/>
          <w:szCs w:val="24"/>
        </w:rPr>
        <w:t>Západočeská univerzita v Plzni</w:t>
      </w:r>
    </w:p>
    <w:p w14:paraId="654FBE8D" w14:textId="2FB6AEF1"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adresa sídla:</w:t>
      </w:r>
      <w:r w:rsidR="004B4BFE">
        <w:rPr>
          <w:szCs w:val="24"/>
        </w:rPr>
        <w:t xml:space="preserve"> </w:t>
      </w:r>
      <w:r w:rsidR="006E26E3">
        <w:t xml:space="preserve">Univerzitní 8, 306 </w:t>
      </w:r>
      <w:proofErr w:type="gramStart"/>
      <w:r w:rsidR="006E26E3">
        <w:t>14  Plzeň</w:t>
      </w:r>
      <w:proofErr w:type="gramEnd"/>
    </w:p>
    <w:p w14:paraId="3F4E25ED" w14:textId="0E621E42"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IČ:</w:t>
      </w:r>
      <w:r w:rsidR="00CF7ADF">
        <w:rPr>
          <w:szCs w:val="24"/>
        </w:rPr>
        <w:t xml:space="preserve"> </w:t>
      </w:r>
      <w:r w:rsidR="006E26E3">
        <w:t>4977513</w:t>
      </w:r>
    </w:p>
    <w:p w14:paraId="3411D4DB" w14:textId="70968FE1"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zastoupená:</w:t>
      </w:r>
      <w:r w:rsidR="006E26E3">
        <w:t xml:space="preserve"> </w:t>
      </w:r>
      <w:r w:rsidR="001A3F1E">
        <w:t>x</w:t>
      </w:r>
      <w:r w:rsidR="006E26E3">
        <w:t>, prorektorem pro výzkum a vývoj</w:t>
      </w:r>
    </w:p>
    <w:p w14:paraId="2B1FB4A5" w14:textId="77777777" w:rsidR="009D2B69" w:rsidRDefault="003A4812" w:rsidP="00F73633">
      <w:pPr>
        <w:pStyle w:val="Zkladntext"/>
        <w:tabs>
          <w:tab w:val="left" w:pos="1985"/>
        </w:tabs>
        <w:ind w:left="567" w:hanging="567"/>
        <w:rPr>
          <w:bCs/>
        </w:rPr>
      </w:pPr>
      <w:r>
        <w:tab/>
      </w:r>
      <w:r w:rsidR="009D2B69">
        <w:rPr>
          <w:bCs/>
        </w:rPr>
        <w:t>(dále jen</w:t>
      </w:r>
      <w:r w:rsidR="009D2B69">
        <w:rPr>
          <w:b/>
        </w:rPr>
        <w:t xml:space="preserve"> „</w:t>
      </w:r>
      <w:r w:rsidR="003C7A6B">
        <w:rPr>
          <w:b/>
        </w:rPr>
        <w:t xml:space="preserve">další </w:t>
      </w:r>
      <w:r w:rsidR="0065282D">
        <w:rPr>
          <w:b/>
        </w:rPr>
        <w:t>účastník projektu</w:t>
      </w:r>
      <w:r w:rsidR="009D2B69">
        <w:rPr>
          <w:b/>
        </w:rPr>
        <w:t>“</w:t>
      </w:r>
      <w:r w:rsidR="00A22B2A" w:rsidRPr="00A22B2A">
        <w:t>)</w:t>
      </w:r>
    </w:p>
    <w:p w14:paraId="7A61E4AC" w14:textId="77777777" w:rsidR="003A4812" w:rsidRDefault="003A4812" w:rsidP="00F73633">
      <w:pPr>
        <w:pStyle w:val="Zkladntext"/>
        <w:tabs>
          <w:tab w:val="left" w:pos="1985"/>
        </w:tabs>
        <w:rPr>
          <w:bCs/>
        </w:rPr>
      </w:pPr>
    </w:p>
    <w:p w14:paraId="188E864F" w14:textId="77777777" w:rsidR="002B2D50" w:rsidRDefault="002B2D50" w:rsidP="003A4812">
      <w:pPr>
        <w:pStyle w:val="Zkladntext"/>
      </w:pPr>
      <w:r>
        <w:t>uzavírají níže uvedené</w:t>
      </w:r>
      <w:r w:rsidR="00C540B5">
        <w:t>ho</w:t>
      </w:r>
      <w:r>
        <w:t xml:space="preserve"> dne, měsíce a roku tuto </w:t>
      </w:r>
    </w:p>
    <w:p w14:paraId="2EC346DD" w14:textId="77777777" w:rsidR="00B910F7" w:rsidRPr="00B910F7" w:rsidRDefault="00B910F7" w:rsidP="002B2D50">
      <w:pPr>
        <w:pStyle w:val="Zkladntext"/>
        <w:jc w:val="center"/>
        <w:rPr>
          <w:b/>
          <w:sz w:val="36"/>
          <w:szCs w:val="36"/>
        </w:rPr>
      </w:pPr>
    </w:p>
    <w:p w14:paraId="14824EAD" w14:textId="77777777" w:rsidR="002B2D50" w:rsidRDefault="002B2D50" w:rsidP="002B2D50">
      <w:pPr>
        <w:pStyle w:val="Zkladntext"/>
        <w:jc w:val="center"/>
        <w:rPr>
          <w:b/>
          <w:sz w:val="36"/>
        </w:rPr>
      </w:pPr>
      <w:r>
        <w:rPr>
          <w:b/>
          <w:sz w:val="36"/>
        </w:rPr>
        <w:t xml:space="preserve">Smlouvu 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pPr>
        <w:pStyle w:val="Zkladntext"/>
        <w:jc w:val="center"/>
        <w:rPr>
          <w:b/>
        </w:rPr>
      </w:pPr>
      <w:r>
        <w:rPr>
          <w:b/>
          <w:bCs/>
        </w:rPr>
        <w:t>Základní údaje o projektu</w:t>
      </w:r>
    </w:p>
    <w:p w14:paraId="21CC32EA" w14:textId="77777777" w:rsidR="002B2D50" w:rsidRDefault="002B2D50" w:rsidP="002B2D50">
      <w:pPr>
        <w:pStyle w:val="Zkladntextodsazen"/>
        <w:ind w:firstLine="0"/>
      </w:pPr>
    </w:p>
    <w:p w14:paraId="31CA1107" w14:textId="304F8710" w:rsidR="002B2D50" w:rsidRPr="00DE4FA0" w:rsidRDefault="00A22B2A" w:rsidP="002B2D50">
      <w:pPr>
        <w:pStyle w:val="Zkladntextodsazen"/>
        <w:numPr>
          <w:ilvl w:val="0"/>
          <w:numId w:val="21"/>
        </w:numPr>
        <w:ind w:hanging="720"/>
        <w:rPr>
          <w:b/>
        </w:rPr>
      </w:pPr>
      <w:r>
        <w:t>Příjemce řeší</w:t>
      </w:r>
      <w:r w:rsidR="00B910F7">
        <w:t xml:space="preserve"> s d</w:t>
      </w:r>
      <w:r w:rsidR="00CF7ADF">
        <w:t>alším</w:t>
      </w:r>
      <w:r w:rsidR="00B910F7">
        <w:t xml:space="preserve"> účastníkem</w:t>
      </w:r>
      <w:r w:rsidR="005558AB">
        <w:t xml:space="preserve"> projektu</w:t>
      </w:r>
      <w:r>
        <w:t xml:space="preserve"> na základě výsledků veřejné soutěže vyhlášené </w:t>
      </w:r>
      <w:r w:rsidR="006E26E3">
        <w:t>Ministerstvem průmyslu a obchodu - ČR</w:t>
      </w:r>
      <w:r>
        <w:t xml:space="preserve"> (dále jen „</w:t>
      </w:r>
      <w:r w:rsidR="00CF7ADF" w:rsidRPr="0065282D">
        <w:t>poskytovatel</w:t>
      </w:r>
      <w:r>
        <w:t>“)</w:t>
      </w:r>
      <w:r w:rsidR="0099272E">
        <w:t xml:space="preserve"> v rámci programu </w:t>
      </w:r>
      <w:r w:rsidR="006E26E3">
        <w:t>MPO TRIO</w:t>
      </w:r>
      <w:r>
        <w:t xml:space="preserve"> </w:t>
      </w:r>
      <w:r w:rsidR="00CF7ADF" w:rsidRPr="008A733E">
        <w:t xml:space="preserve">projekt výzkumu a vývoje s názvem: </w:t>
      </w:r>
      <w:r w:rsidR="00CF7ADF" w:rsidRPr="00DE4FA0">
        <w:rPr>
          <w:b/>
        </w:rPr>
        <w:t>„</w:t>
      </w:r>
      <w:r w:rsidR="00C11AAD">
        <w:rPr>
          <w:b/>
        </w:rPr>
        <w:t>Naplétané přerušované kompozitní konstrukce v </w:t>
      </w:r>
      <w:proofErr w:type="spellStart"/>
      <w:proofErr w:type="gramStart"/>
      <w:r w:rsidR="00C11AAD">
        <w:rPr>
          <w:b/>
        </w:rPr>
        <w:t>elektro</w:t>
      </w:r>
      <w:r w:rsidR="00566C7A">
        <w:rPr>
          <w:b/>
        </w:rPr>
        <w:t>tech</w:t>
      </w:r>
      <w:r w:rsidR="00C11AAD">
        <w:rPr>
          <w:b/>
        </w:rPr>
        <w:t>ice</w:t>
      </w:r>
      <w:proofErr w:type="spellEnd"/>
      <w:r w:rsidR="00C11AAD">
        <w:rPr>
          <w:b/>
        </w:rPr>
        <w:t xml:space="preserve"> </w:t>
      </w:r>
      <w:r w:rsidR="006E26E3" w:rsidRPr="00DE4FA0">
        <w:rPr>
          <w:b/>
        </w:rPr>
        <w:t xml:space="preserve"> </w:t>
      </w:r>
      <w:proofErr w:type="spellStart"/>
      <w:r w:rsidR="00C11AAD">
        <w:rPr>
          <w:b/>
        </w:rPr>
        <w:t>Naprekon</w:t>
      </w:r>
      <w:proofErr w:type="spellEnd"/>
      <w:proofErr w:type="gramEnd"/>
      <w:r w:rsidR="00CF7ADF" w:rsidRPr="00DE4FA0">
        <w:rPr>
          <w:b/>
        </w:rPr>
        <w:t xml:space="preserve">“, ev. č. </w:t>
      </w:r>
      <w:r w:rsidR="006E26E3" w:rsidRPr="00DE4FA0">
        <w:rPr>
          <w:b/>
        </w:rPr>
        <w:t>FV</w:t>
      </w:r>
      <w:r w:rsidR="00C11AAD">
        <w:rPr>
          <w:b/>
        </w:rPr>
        <w:t>30382</w:t>
      </w:r>
      <w:r w:rsidR="006E26E3" w:rsidRPr="00DE4FA0">
        <w:rPr>
          <w:b/>
        </w:rPr>
        <w:t xml:space="preserve">  </w:t>
      </w:r>
      <w:r w:rsidR="00CF7ADF" w:rsidRPr="00DE4FA0">
        <w:rPr>
          <w:b/>
        </w:rPr>
        <w:t xml:space="preserve"> (</w:t>
      </w:r>
      <w:r w:rsidR="00CF7ADF" w:rsidRPr="006E26E3">
        <w:t>dále jen „projekt“)</w:t>
      </w:r>
      <w:r w:rsidR="00D0097B" w:rsidRPr="006E26E3">
        <w:t>.</w:t>
      </w:r>
    </w:p>
    <w:p w14:paraId="2FFC011A" w14:textId="77777777" w:rsidR="002B2D50" w:rsidRDefault="002B2D50" w:rsidP="002B2D50">
      <w:pPr>
        <w:pStyle w:val="Zkladntextodsazen"/>
        <w:ind w:left="720" w:firstLine="0"/>
      </w:pPr>
    </w:p>
    <w:p w14:paraId="71C307D4" w14:textId="2459C703"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proofErr w:type="gramStart"/>
      <w:r w:rsidR="0065282D">
        <w:t xml:space="preserve">na </w:t>
      </w:r>
      <w:r w:rsidR="006E26E3">
        <w:t xml:space="preserve"> 31.</w:t>
      </w:r>
      <w:proofErr w:type="gramEnd"/>
      <w:r w:rsidR="006E26E3">
        <w:t xml:space="preserve"> 1</w:t>
      </w:r>
      <w:r w:rsidR="00DE4FA0">
        <w:t>0</w:t>
      </w:r>
      <w:r w:rsidR="006E26E3">
        <w:t>. 202</w:t>
      </w:r>
      <w:r w:rsidR="00DE4FA0">
        <w:t>1</w:t>
      </w:r>
    </w:p>
    <w:p w14:paraId="6210317F" w14:textId="77777777" w:rsidR="002B2D50" w:rsidRDefault="002B2D50" w:rsidP="002B2D50">
      <w:pPr>
        <w:pStyle w:val="Odstavecseseznamem"/>
      </w:pPr>
    </w:p>
    <w:p w14:paraId="2247BB1E" w14:textId="50B2840D" w:rsidR="002B2D50" w:rsidRDefault="00A22B2A" w:rsidP="002B2D50">
      <w:pPr>
        <w:pStyle w:val="Zkladntextodsazen"/>
        <w:numPr>
          <w:ilvl w:val="0"/>
          <w:numId w:val="21"/>
        </w:numPr>
        <w:ind w:hanging="720"/>
      </w:pPr>
      <w:r>
        <w:t xml:space="preserve">Příjemce: </w:t>
      </w:r>
      <w:proofErr w:type="spellStart"/>
      <w:r w:rsidR="00C11AAD">
        <w:rPr>
          <w:b/>
        </w:rPr>
        <w:t>Technofiber</w:t>
      </w:r>
      <w:proofErr w:type="spellEnd"/>
      <w:r w:rsidR="006E26E3" w:rsidRPr="00DE4FA0">
        <w:rPr>
          <w:b/>
        </w:rPr>
        <w:t xml:space="preserve"> </w:t>
      </w:r>
      <w:r w:rsidR="00C11AAD">
        <w:rPr>
          <w:b/>
        </w:rPr>
        <w:t>s. r. o</w:t>
      </w:r>
      <w:r w:rsidR="006E26E3" w:rsidRPr="00DE4FA0">
        <w:rPr>
          <w:b/>
        </w:rPr>
        <w:t>.</w:t>
      </w:r>
    </w:p>
    <w:p w14:paraId="34E2298B" w14:textId="77777777" w:rsidR="002B2D50" w:rsidRDefault="002B2D50" w:rsidP="002B2D50">
      <w:pPr>
        <w:pStyle w:val="Odstavecseseznamem"/>
      </w:pPr>
    </w:p>
    <w:p w14:paraId="63608373" w14:textId="6B80D0E5" w:rsidR="002B2D50" w:rsidRDefault="002B3734" w:rsidP="002B2D50">
      <w:pPr>
        <w:pStyle w:val="Zkladntextodsazen"/>
        <w:numPr>
          <w:ilvl w:val="0"/>
          <w:numId w:val="21"/>
        </w:numPr>
        <w:ind w:hanging="720"/>
      </w:pPr>
      <w:r>
        <w:t xml:space="preserve">Na základě smlouvy o účasti na řešení projektu </w:t>
      </w:r>
      <w:r w:rsidR="00AE559E">
        <w:t>je dalším účastníkem projektu</w:t>
      </w:r>
      <w:r w:rsidR="00AE559E" w:rsidRPr="00DE4FA0">
        <w:rPr>
          <w:b/>
        </w:rPr>
        <w:t xml:space="preserve"> </w:t>
      </w:r>
      <w:r w:rsidR="006E26E3" w:rsidRPr="00DE4FA0">
        <w:rPr>
          <w:b/>
        </w:rPr>
        <w:t>Západočeská</w:t>
      </w:r>
      <w:r w:rsidR="006E26E3">
        <w:t xml:space="preserve"> </w:t>
      </w:r>
      <w:r w:rsidR="006E26E3" w:rsidRPr="00DE4FA0">
        <w:rPr>
          <w:b/>
        </w:rPr>
        <w:t>univerzita v Plzni</w:t>
      </w:r>
    </w:p>
    <w:p w14:paraId="089FB756" w14:textId="77777777" w:rsidR="002B2D50" w:rsidRDefault="002B2D50" w:rsidP="002B2D50">
      <w:pPr>
        <w:pStyle w:val="Odstavecseseznamem"/>
      </w:pPr>
    </w:p>
    <w:p w14:paraId="72490893" w14:textId="47DAC9CB" w:rsidR="002B2D50" w:rsidRPr="00DE4FA0" w:rsidRDefault="009D2B69" w:rsidP="002B2D50">
      <w:pPr>
        <w:pStyle w:val="Zkladntextodsazen"/>
        <w:numPr>
          <w:ilvl w:val="0"/>
          <w:numId w:val="21"/>
        </w:numPr>
        <w:ind w:hanging="720"/>
        <w:rPr>
          <w:b/>
        </w:rPr>
      </w:pPr>
      <w:r w:rsidRPr="0099272E">
        <w:rPr>
          <w:spacing w:val="-8"/>
        </w:rPr>
        <w:t>Údaje o projektu podléhají kódu důvěrnosti údajů:</w:t>
      </w:r>
      <w:r w:rsidR="0014671A" w:rsidRPr="0099272E">
        <w:rPr>
          <w:spacing w:val="-8"/>
        </w:rPr>
        <w:t xml:space="preserve"> </w:t>
      </w:r>
      <w:proofErr w:type="gramStart"/>
      <w:r w:rsidR="00AC6D81" w:rsidRPr="00DE4FA0">
        <w:rPr>
          <w:b/>
        </w:rPr>
        <w:t>C- předmět</w:t>
      </w:r>
      <w:proofErr w:type="gramEnd"/>
      <w:r w:rsidR="00AC6D81" w:rsidRPr="00DE4FA0">
        <w:rPr>
          <w:b/>
        </w:rPr>
        <w:t xml:space="preserve"> řešení podléhá obchodnímu tajemství</w:t>
      </w:r>
    </w:p>
    <w:p w14:paraId="76DAE14A" w14:textId="77777777" w:rsidR="0099272E" w:rsidRDefault="0099272E" w:rsidP="0099272E">
      <w:pPr>
        <w:pStyle w:val="Zkladntextodsazen"/>
        <w:ind w:left="720" w:firstLine="0"/>
      </w:pPr>
    </w:p>
    <w:p w14:paraId="4601D7AE" w14:textId="77777777" w:rsidR="00DA7279" w:rsidRDefault="00DA7279">
      <w:pPr>
        <w:pStyle w:val="Zkladntext"/>
        <w:jc w:val="both"/>
      </w:pPr>
    </w:p>
    <w:p w14:paraId="4FBC1B88" w14:textId="77777777" w:rsidR="00DA7279" w:rsidRDefault="00DA7279">
      <w:pPr>
        <w:rPr>
          <w:sz w:val="24"/>
        </w:rPr>
      </w:pPr>
      <w:r>
        <w:br w:type="page"/>
      </w:r>
    </w:p>
    <w:p w14:paraId="7E790AC4" w14:textId="77777777" w:rsidR="009D2B69" w:rsidRDefault="009D2B69" w:rsidP="00A80E49">
      <w:pPr>
        <w:pStyle w:val="Zkladntext"/>
        <w:jc w:val="center"/>
        <w:rPr>
          <w:b/>
        </w:rPr>
      </w:pPr>
      <w:r>
        <w:rPr>
          <w:b/>
        </w:rPr>
        <w:lastRenderedPageBreak/>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B91B81F"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68A3C8E2" w14:textId="77777777" w:rsidR="00566C7A" w:rsidRPr="00566C7A" w:rsidRDefault="00566C7A" w:rsidP="00566C7A">
      <w:pPr>
        <w:pStyle w:val="Odstavecseseznamem"/>
        <w:numPr>
          <w:ilvl w:val="0"/>
          <w:numId w:val="35"/>
        </w:numPr>
        <w:ind w:left="709" w:hanging="709"/>
        <w:jc w:val="both"/>
        <w:rPr>
          <w:sz w:val="24"/>
          <w:szCs w:val="24"/>
        </w:rPr>
      </w:pPr>
      <w:r w:rsidRPr="00566C7A">
        <w:rPr>
          <w:sz w:val="24"/>
          <w:szCs w:val="24"/>
        </w:rPr>
        <w:t>Kompozitní izolační struktura</w:t>
      </w:r>
    </w:p>
    <w:p w14:paraId="48E550D9" w14:textId="561E6F61" w:rsidR="004C050D" w:rsidRDefault="004C050D" w:rsidP="004C050D">
      <w:pPr>
        <w:ind w:left="705"/>
        <w:jc w:val="both"/>
        <w:rPr>
          <w:sz w:val="24"/>
          <w:szCs w:val="24"/>
        </w:rPr>
      </w:pPr>
      <w:r w:rsidRPr="002A66D8">
        <w:rPr>
          <w:sz w:val="24"/>
          <w:szCs w:val="24"/>
        </w:rPr>
        <w:t xml:space="preserve">Typ výsledku </w:t>
      </w:r>
      <w:r>
        <w:rPr>
          <w:sz w:val="24"/>
          <w:szCs w:val="24"/>
        </w:rPr>
        <w:t xml:space="preserve">– </w:t>
      </w:r>
      <w:r w:rsidR="00566C7A">
        <w:rPr>
          <w:sz w:val="24"/>
          <w:szCs w:val="24"/>
        </w:rPr>
        <w:t>„</w:t>
      </w:r>
      <w:r w:rsidR="00566C7A" w:rsidRPr="00566C7A">
        <w:rPr>
          <w:sz w:val="24"/>
          <w:szCs w:val="24"/>
        </w:rPr>
        <w:t>Užitný vzor</w:t>
      </w:r>
      <w:r w:rsidR="00566C7A" w:rsidRPr="002A66D8">
        <w:rPr>
          <w:sz w:val="24"/>
          <w:szCs w:val="24"/>
        </w:rPr>
        <w:t>“</w:t>
      </w:r>
    </w:p>
    <w:p w14:paraId="205B8155" w14:textId="53437D89" w:rsidR="00736DEF" w:rsidRPr="00566C7A" w:rsidRDefault="002B2D50" w:rsidP="004C050D">
      <w:pPr>
        <w:ind w:left="705"/>
        <w:jc w:val="both"/>
        <w:rPr>
          <w:sz w:val="24"/>
          <w:szCs w:val="24"/>
        </w:rPr>
      </w:pPr>
      <w:r>
        <w:rPr>
          <w:sz w:val="24"/>
          <w:szCs w:val="24"/>
        </w:rPr>
        <w:t>Vlastnictví</w:t>
      </w:r>
      <w:r w:rsidR="004C050D" w:rsidRPr="002A66D8">
        <w:rPr>
          <w:sz w:val="24"/>
          <w:szCs w:val="24"/>
        </w:rPr>
        <w:t xml:space="preserve"> výsledku</w:t>
      </w:r>
      <w:r w:rsidR="004C050D">
        <w:rPr>
          <w:sz w:val="24"/>
          <w:szCs w:val="24"/>
        </w:rPr>
        <w:t xml:space="preserve"> </w:t>
      </w:r>
      <w:r w:rsidR="00D9622C">
        <w:rPr>
          <w:sz w:val="24"/>
          <w:szCs w:val="24"/>
        </w:rPr>
        <w:t>–</w:t>
      </w:r>
      <w:proofErr w:type="spellStart"/>
      <w:r w:rsidR="00566C7A">
        <w:rPr>
          <w:sz w:val="24"/>
          <w:szCs w:val="24"/>
        </w:rPr>
        <w:t>Technofiber</w:t>
      </w:r>
      <w:proofErr w:type="spellEnd"/>
      <w:r w:rsidR="00566C7A">
        <w:rPr>
          <w:sz w:val="24"/>
          <w:szCs w:val="24"/>
        </w:rPr>
        <w:t>/ZČU – 50/50</w:t>
      </w:r>
      <w:r w:rsidR="0099272E" w:rsidRPr="00566C7A">
        <w:rPr>
          <w:sz w:val="24"/>
          <w:szCs w:val="24"/>
        </w:rPr>
        <w:t>.</w:t>
      </w:r>
    </w:p>
    <w:p w14:paraId="717D4DF4" w14:textId="77777777" w:rsidR="0099272E" w:rsidRPr="002A66D8" w:rsidRDefault="0099272E" w:rsidP="004C050D">
      <w:pPr>
        <w:ind w:left="705"/>
        <w:jc w:val="both"/>
        <w:rPr>
          <w:sz w:val="24"/>
          <w:szCs w:val="24"/>
        </w:rPr>
      </w:pPr>
    </w:p>
    <w:p w14:paraId="37C11922" w14:textId="77777777" w:rsidR="00566C7A" w:rsidRPr="00566C7A" w:rsidRDefault="00566C7A" w:rsidP="00566C7A">
      <w:pPr>
        <w:pStyle w:val="Odstavecseseznamem"/>
        <w:numPr>
          <w:ilvl w:val="0"/>
          <w:numId w:val="35"/>
        </w:numPr>
        <w:ind w:left="709" w:hanging="709"/>
        <w:jc w:val="both"/>
        <w:rPr>
          <w:sz w:val="24"/>
          <w:szCs w:val="24"/>
        </w:rPr>
      </w:pPr>
      <w:r w:rsidRPr="00566C7A">
        <w:rPr>
          <w:sz w:val="24"/>
          <w:szCs w:val="24"/>
        </w:rPr>
        <w:t>Technologie naplétané přerušované kompozitní konstrukce</w:t>
      </w:r>
    </w:p>
    <w:p w14:paraId="636AC799" w14:textId="6E5E6E79" w:rsidR="0099272E" w:rsidRDefault="0099272E" w:rsidP="0099272E">
      <w:pPr>
        <w:ind w:left="705"/>
        <w:jc w:val="both"/>
        <w:rPr>
          <w:sz w:val="24"/>
          <w:szCs w:val="24"/>
        </w:rPr>
      </w:pPr>
      <w:r w:rsidRPr="002A66D8">
        <w:rPr>
          <w:sz w:val="24"/>
          <w:szCs w:val="24"/>
        </w:rPr>
        <w:t xml:space="preserve">Typ výsledku </w:t>
      </w:r>
      <w:r>
        <w:rPr>
          <w:sz w:val="24"/>
          <w:szCs w:val="24"/>
        </w:rPr>
        <w:t xml:space="preserve">– </w:t>
      </w:r>
      <w:r w:rsidR="00566C7A">
        <w:rPr>
          <w:sz w:val="24"/>
          <w:szCs w:val="24"/>
        </w:rPr>
        <w:t>„</w:t>
      </w:r>
      <w:r w:rsidR="00566C7A" w:rsidRPr="00566C7A">
        <w:rPr>
          <w:sz w:val="24"/>
          <w:szCs w:val="24"/>
        </w:rPr>
        <w:t>Ověřená Technologie</w:t>
      </w:r>
      <w:r w:rsidR="00566C7A" w:rsidRPr="002A66D8">
        <w:rPr>
          <w:sz w:val="24"/>
          <w:szCs w:val="24"/>
        </w:rPr>
        <w:t>“</w:t>
      </w:r>
    </w:p>
    <w:p w14:paraId="64679761" w14:textId="2F3DFED7" w:rsidR="009E7754" w:rsidRDefault="0099272E" w:rsidP="0099272E">
      <w:pPr>
        <w:ind w:left="705"/>
        <w:jc w:val="both"/>
        <w:rPr>
          <w:sz w:val="24"/>
          <w:szCs w:val="24"/>
        </w:rPr>
      </w:pPr>
      <w:r>
        <w:rPr>
          <w:sz w:val="24"/>
          <w:szCs w:val="24"/>
        </w:rPr>
        <w:t>Vlastnictví</w:t>
      </w:r>
      <w:r w:rsidRPr="002A66D8">
        <w:rPr>
          <w:sz w:val="24"/>
          <w:szCs w:val="24"/>
        </w:rPr>
        <w:t xml:space="preserve"> výsledku</w:t>
      </w:r>
      <w:r>
        <w:rPr>
          <w:sz w:val="24"/>
          <w:szCs w:val="24"/>
        </w:rPr>
        <w:t xml:space="preserve"> – </w:t>
      </w:r>
      <w:proofErr w:type="spellStart"/>
      <w:r w:rsidR="00566C7A">
        <w:rPr>
          <w:sz w:val="24"/>
          <w:szCs w:val="24"/>
        </w:rPr>
        <w:t>Technofiber</w:t>
      </w:r>
      <w:proofErr w:type="spellEnd"/>
      <w:r w:rsidR="00566C7A">
        <w:rPr>
          <w:sz w:val="24"/>
          <w:szCs w:val="24"/>
        </w:rPr>
        <w:t>/ZČU – 50/50</w:t>
      </w:r>
      <w:r w:rsidR="00566C7A" w:rsidRPr="00566C7A">
        <w:rPr>
          <w:sz w:val="24"/>
          <w:szCs w:val="24"/>
        </w:rPr>
        <w:t>.</w:t>
      </w:r>
    </w:p>
    <w:p w14:paraId="7866383F" w14:textId="77777777" w:rsidR="00C42387" w:rsidRDefault="00C42387" w:rsidP="0099272E">
      <w:pPr>
        <w:ind w:left="705"/>
        <w:jc w:val="both"/>
        <w:rPr>
          <w:sz w:val="24"/>
          <w:szCs w:val="24"/>
        </w:rPr>
      </w:pPr>
    </w:p>
    <w:p w14:paraId="127817D2" w14:textId="2A2F6613" w:rsidR="0099272E" w:rsidRPr="002F39A5" w:rsidRDefault="009E7754" w:rsidP="002F39A5">
      <w:pPr>
        <w:pStyle w:val="Odstavecseseznamem"/>
        <w:numPr>
          <w:ilvl w:val="0"/>
          <w:numId w:val="35"/>
        </w:numPr>
        <w:ind w:left="709" w:hanging="709"/>
        <w:jc w:val="both"/>
        <w:rPr>
          <w:sz w:val="24"/>
          <w:szCs w:val="24"/>
        </w:rPr>
      </w:pPr>
      <w:r w:rsidRPr="009E7754">
        <w:t xml:space="preserve"> </w:t>
      </w:r>
      <w:proofErr w:type="spellStart"/>
      <w:r w:rsidRPr="009E7754">
        <w:rPr>
          <w:sz w:val="24"/>
          <w:szCs w:val="24"/>
        </w:rPr>
        <w:t>Kompozitový</w:t>
      </w:r>
      <w:proofErr w:type="spellEnd"/>
      <w:r w:rsidRPr="009E7754">
        <w:rPr>
          <w:sz w:val="24"/>
          <w:szCs w:val="24"/>
        </w:rPr>
        <w:t xml:space="preserve"> prvek s přerušovanou vnitřní strukturou – prototyp</w:t>
      </w:r>
    </w:p>
    <w:p w14:paraId="0E7CEEB4" w14:textId="17110BA9" w:rsidR="009E7754" w:rsidRPr="002F39A5" w:rsidRDefault="009E7754" w:rsidP="002F39A5">
      <w:pPr>
        <w:ind w:left="705"/>
        <w:jc w:val="both"/>
        <w:rPr>
          <w:sz w:val="24"/>
          <w:szCs w:val="24"/>
        </w:rPr>
      </w:pPr>
      <w:r w:rsidRPr="002F39A5">
        <w:rPr>
          <w:sz w:val="24"/>
          <w:szCs w:val="24"/>
        </w:rPr>
        <w:t>Typ výsledku – „</w:t>
      </w:r>
      <w:r>
        <w:rPr>
          <w:sz w:val="24"/>
          <w:szCs w:val="24"/>
        </w:rPr>
        <w:t>Prototyp</w:t>
      </w:r>
      <w:r w:rsidRPr="002F39A5">
        <w:rPr>
          <w:sz w:val="24"/>
          <w:szCs w:val="24"/>
        </w:rPr>
        <w:t>“</w:t>
      </w:r>
    </w:p>
    <w:p w14:paraId="69DE21F7" w14:textId="77777777" w:rsidR="009E7754" w:rsidRPr="009E7754" w:rsidRDefault="009E7754" w:rsidP="002F39A5">
      <w:pPr>
        <w:ind w:left="705"/>
        <w:jc w:val="both"/>
        <w:rPr>
          <w:sz w:val="24"/>
          <w:szCs w:val="24"/>
        </w:rPr>
      </w:pPr>
      <w:r w:rsidRPr="009E7754">
        <w:rPr>
          <w:sz w:val="24"/>
          <w:szCs w:val="24"/>
        </w:rPr>
        <w:t xml:space="preserve">Vlastnictví výsledku – </w:t>
      </w:r>
      <w:proofErr w:type="spellStart"/>
      <w:r w:rsidRPr="009E7754">
        <w:rPr>
          <w:sz w:val="24"/>
          <w:szCs w:val="24"/>
        </w:rPr>
        <w:t>Technofiber</w:t>
      </w:r>
      <w:proofErr w:type="spellEnd"/>
      <w:r w:rsidRPr="009E7754">
        <w:rPr>
          <w:sz w:val="24"/>
          <w:szCs w:val="24"/>
        </w:rPr>
        <w:t>/ZČU – 50/50.</w:t>
      </w:r>
    </w:p>
    <w:p w14:paraId="24368199" w14:textId="77777777" w:rsidR="00736DEF" w:rsidRDefault="00736DEF" w:rsidP="00566C7A">
      <w:pPr>
        <w:ind w:left="705"/>
        <w:jc w:val="both"/>
        <w:rPr>
          <w:sz w:val="24"/>
          <w:szCs w:val="24"/>
        </w:rPr>
      </w:pPr>
    </w:p>
    <w:p w14:paraId="5A1687CC" w14:textId="7DF9F2B0" w:rsidR="0099272E" w:rsidRPr="0099272E" w:rsidRDefault="00566C7A" w:rsidP="00566C7A">
      <w:pPr>
        <w:pStyle w:val="Odstavecseseznamem"/>
        <w:numPr>
          <w:ilvl w:val="0"/>
          <w:numId w:val="35"/>
        </w:numPr>
        <w:ind w:left="709" w:hanging="709"/>
        <w:jc w:val="both"/>
        <w:rPr>
          <w:sz w:val="24"/>
          <w:szCs w:val="24"/>
        </w:rPr>
      </w:pPr>
      <w:proofErr w:type="spellStart"/>
      <w:r w:rsidRPr="00566C7A">
        <w:rPr>
          <w:sz w:val="24"/>
          <w:szCs w:val="24"/>
        </w:rPr>
        <w:t>Kompozitový</w:t>
      </w:r>
      <w:proofErr w:type="spellEnd"/>
      <w:r w:rsidRPr="00566C7A">
        <w:rPr>
          <w:sz w:val="24"/>
          <w:szCs w:val="24"/>
        </w:rPr>
        <w:t xml:space="preserve"> prvek s přerušovanou vnitřní strukturou</w:t>
      </w:r>
      <w:r w:rsidR="0099272E" w:rsidRPr="00566C7A">
        <w:rPr>
          <w:sz w:val="24"/>
          <w:szCs w:val="24"/>
        </w:rPr>
        <w:t>.</w:t>
      </w:r>
    </w:p>
    <w:p w14:paraId="2D64864F" w14:textId="2C785950" w:rsidR="0099272E" w:rsidRDefault="0099272E" w:rsidP="0099272E">
      <w:pPr>
        <w:ind w:left="705"/>
        <w:jc w:val="both"/>
        <w:rPr>
          <w:sz w:val="24"/>
          <w:szCs w:val="24"/>
        </w:rPr>
      </w:pPr>
      <w:r w:rsidRPr="002A66D8">
        <w:rPr>
          <w:sz w:val="24"/>
          <w:szCs w:val="24"/>
        </w:rPr>
        <w:t xml:space="preserve">Typ výsledku </w:t>
      </w:r>
      <w:r>
        <w:rPr>
          <w:sz w:val="24"/>
          <w:szCs w:val="24"/>
        </w:rPr>
        <w:t xml:space="preserve">– </w:t>
      </w:r>
      <w:r w:rsidR="00566C7A">
        <w:rPr>
          <w:sz w:val="24"/>
          <w:szCs w:val="24"/>
        </w:rPr>
        <w:t>„</w:t>
      </w:r>
      <w:r w:rsidR="00566C7A" w:rsidRPr="00566C7A">
        <w:rPr>
          <w:sz w:val="24"/>
          <w:szCs w:val="24"/>
        </w:rPr>
        <w:t>Funkční vzorek</w:t>
      </w:r>
      <w:r w:rsidR="00566C7A" w:rsidRPr="002A66D8">
        <w:rPr>
          <w:sz w:val="24"/>
          <w:szCs w:val="24"/>
        </w:rPr>
        <w:t>“</w:t>
      </w:r>
    </w:p>
    <w:p w14:paraId="04815F71" w14:textId="20071B0C" w:rsidR="0099272E" w:rsidRPr="00566C7A" w:rsidRDefault="0099272E" w:rsidP="0099272E">
      <w:pPr>
        <w:ind w:left="705"/>
        <w:jc w:val="both"/>
        <w:rPr>
          <w:sz w:val="24"/>
          <w:szCs w:val="24"/>
        </w:rPr>
      </w:pPr>
      <w:r>
        <w:rPr>
          <w:sz w:val="24"/>
          <w:szCs w:val="24"/>
        </w:rPr>
        <w:t>Vlastnictví</w:t>
      </w:r>
      <w:r w:rsidRPr="002A66D8">
        <w:rPr>
          <w:sz w:val="24"/>
          <w:szCs w:val="24"/>
        </w:rPr>
        <w:t xml:space="preserve"> výsledku</w:t>
      </w:r>
      <w:r>
        <w:rPr>
          <w:sz w:val="24"/>
          <w:szCs w:val="24"/>
        </w:rPr>
        <w:t xml:space="preserve"> – </w:t>
      </w:r>
      <w:proofErr w:type="spellStart"/>
      <w:r w:rsidR="00566C7A">
        <w:rPr>
          <w:sz w:val="24"/>
          <w:szCs w:val="24"/>
        </w:rPr>
        <w:t>Technofiber</w:t>
      </w:r>
      <w:proofErr w:type="spellEnd"/>
      <w:r w:rsidR="00566C7A">
        <w:rPr>
          <w:sz w:val="24"/>
          <w:szCs w:val="24"/>
        </w:rPr>
        <w:t>/ZČU – 50/50</w:t>
      </w:r>
      <w:r w:rsidRPr="00566C7A">
        <w:rPr>
          <w:sz w:val="24"/>
          <w:szCs w:val="24"/>
        </w:rPr>
        <w:t>.</w:t>
      </w:r>
    </w:p>
    <w:p w14:paraId="72372440" w14:textId="77777777" w:rsidR="00635D46" w:rsidRPr="002A66D8" w:rsidRDefault="00635D46" w:rsidP="00566C7A">
      <w:pPr>
        <w:ind w:left="705"/>
        <w:jc w:val="both"/>
        <w:rPr>
          <w:sz w:val="24"/>
          <w:szCs w:val="24"/>
        </w:rPr>
      </w:pPr>
    </w:p>
    <w:p w14:paraId="18712AA6" w14:textId="77777777" w:rsidR="00566C7A" w:rsidRPr="00566C7A" w:rsidRDefault="00566C7A" w:rsidP="00566C7A">
      <w:pPr>
        <w:pStyle w:val="Odstavecseseznamem"/>
        <w:numPr>
          <w:ilvl w:val="0"/>
          <w:numId w:val="35"/>
        </w:numPr>
        <w:ind w:left="709" w:hanging="709"/>
        <w:jc w:val="both"/>
        <w:rPr>
          <w:sz w:val="24"/>
          <w:szCs w:val="24"/>
        </w:rPr>
      </w:pPr>
      <w:proofErr w:type="spellStart"/>
      <w:r w:rsidRPr="00566C7A">
        <w:rPr>
          <w:sz w:val="24"/>
          <w:szCs w:val="24"/>
        </w:rPr>
        <w:t>Kompozitový</w:t>
      </w:r>
      <w:proofErr w:type="spellEnd"/>
      <w:r w:rsidRPr="00566C7A">
        <w:rPr>
          <w:sz w:val="24"/>
          <w:szCs w:val="24"/>
        </w:rPr>
        <w:t xml:space="preserve"> prvek s přerušovanou vnitřní strukturou – optimalizovaná struktura</w:t>
      </w:r>
    </w:p>
    <w:p w14:paraId="09E1A6CF" w14:textId="05EE0CE4" w:rsidR="0099272E" w:rsidRDefault="0099272E" w:rsidP="0099272E">
      <w:pPr>
        <w:ind w:left="705"/>
        <w:jc w:val="both"/>
        <w:rPr>
          <w:sz w:val="24"/>
          <w:szCs w:val="24"/>
        </w:rPr>
      </w:pPr>
      <w:r w:rsidRPr="002A66D8">
        <w:rPr>
          <w:sz w:val="24"/>
          <w:szCs w:val="24"/>
        </w:rPr>
        <w:t xml:space="preserve">Typ výsledku </w:t>
      </w:r>
      <w:r>
        <w:rPr>
          <w:sz w:val="24"/>
          <w:szCs w:val="24"/>
        </w:rPr>
        <w:t xml:space="preserve">– </w:t>
      </w:r>
      <w:r w:rsidR="00566C7A">
        <w:rPr>
          <w:sz w:val="24"/>
          <w:szCs w:val="24"/>
        </w:rPr>
        <w:t>„</w:t>
      </w:r>
      <w:r w:rsidR="00566C7A" w:rsidRPr="00566C7A">
        <w:rPr>
          <w:sz w:val="24"/>
          <w:szCs w:val="24"/>
        </w:rPr>
        <w:t>Funkční vzorek</w:t>
      </w:r>
      <w:r w:rsidR="00566C7A" w:rsidRPr="002A66D8">
        <w:rPr>
          <w:sz w:val="24"/>
          <w:szCs w:val="24"/>
        </w:rPr>
        <w:t>“</w:t>
      </w:r>
    </w:p>
    <w:p w14:paraId="30C8FBA9" w14:textId="55F81F20" w:rsidR="0099272E" w:rsidRPr="00566C7A" w:rsidRDefault="0099272E" w:rsidP="0099272E">
      <w:pPr>
        <w:ind w:left="705"/>
        <w:jc w:val="both"/>
        <w:rPr>
          <w:sz w:val="24"/>
          <w:szCs w:val="24"/>
        </w:rPr>
      </w:pPr>
      <w:r>
        <w:rPr>
          <w:sz w:val="24"/>
          <w:szCs w:val="24"/>
        </w:rPr>
        <w:t>Vlastnictví</w:t>
      </w:r>
      <w:r w:rsidRPr="002A66D8">
        <w:rPr>
          <w:sz w:val="24"/>
          <w:szCs w:val="24"/>
        </w:rPr>
        <w:t xml:space="preserve"> výsledku</w:t>
      </w:r>
      <w:r>
        <w:rPr>
          <w:sz w:val="24"/>
          <w:szCs w:val="24"/>
        </w:rPr>
        <w:t xml:space="preserve"> – </w:t>
      </w:r>
      <w:proofErr w:type="spellStart"/>
      <w:r w:rsidR="00566C7A">
        <w:rPr>
          <w:sz w:val="24"/>
          <w:szCs w:val="24"/>
        </w:rPr>
        <w:t>Technofiber</w:t>
      </w:r>
      <w:proofErr w:type="spellEnd"/>
      <w:r w:rsidR="00566C7A">
        <w:rPr>
          <w:sz w:val="24"/>
          <w:szCs w:val="24"/>
        </w:rPr>
        <w:t>/ZČU – 50/50</w:t>
      </w:r>
    </w:p>
    <w:p w14:paraId="296B5F88" w14:textId="77777777" w:rsidR="00C71FBD" w:rsidRPr="00566C7A" w:rsidRDefault="00C71FBD" w:rsidP="00566C7A">
      <w:pPr>
        <w:ind w:left="705"/>
        <w:jc w:val="both"/>
        <w:rPr>
          <w:sz w:val="24"/>
          <w:szCs w:val="24"/>
        </w:rPr>
      </w:pPr>
    </w:p>
    <w:p w14:paraId="173CB5C8" w14:textId="77777777" w:rsidR="00C2376D" w:rsidRDefault="00C2376D" w:rsidP="0083570F">
      <w:pPr>
        <w:ind w:left="705"/>
        <w:jc w:val="both"/>
        <w:rPr>
          <w:sz w:val="24"/>
          <w:szCs w:val="24"/>
        </w:rPr>
      </w:pPr>
    </w:p>
    <w:p w14:paraId="0F16772D"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6BE6B1B1" w14:textId="77777777" w:rsidR="00635D46" w:rsidRDefault="00635D46" w:rsidP="00F73633">
      <w:pPr>
        <w:jc w:val="both"/>
        <w:rPr>
          <w:sz w:val="24"/>
          <w:szCs w:val="24"/>
        </w:rPr>
      </w:pPr>
    </w:p>
    <w:p w14:paraId="0C3BC3EC"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6BD7E882" w14:textId="77777777" w:rsidR="00635D46" w:rsidRDefault="00635D46" w:rsidP="00635D46">
      <w:pPr>
        <w:pStyle w:val="Zkladntext"/>
        <w:jc w:val="both"/>
      </w:pPr>
    </w:p>
    <w:p w14:paraId="54FFB0C5" w14:textId="77777777"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nebo příjemce a další účastník</w:t>
      </w:r>
      <w:r w:rsidR="008259DF">
        <w:rPr>
          <w:sz w:val="24"/>
          <w:szCs w:val="24"/>
        </w:rPr>
        <w:t xml:space="preserve"> projektu společně</w:t>
      </w:r>
      <w:r w:rsidRPr="002B2D50">
        <w:rPr>
          <w:sz w:val="24"/>
          <w:szCs w:val="24"/>
        </w:rPr>
        <w:t>.</w:t>
      </w:r>
    </w:p>
    <w:p w14:paraId="702D64FB" w14:textId="77777777" w:rsidR="002B2D50" w:rsidRPr="002B2D50" w:rsidRDefault="002B2D50" w:rsidP="002B2D50">
      <w:pPr>
        <w:pStyle w:val="Odstavecseseznamem"/>
        <w:ind w:hanging="783"/>
        <w:rPr>
          <w:sz w:val="24"/>
          <w:szCs w:val="24"/>
        </w:rPr>
      </w:pPr>
    </w:p>
    <w:p w14:paraId="1887F536" w14:textId="77777777"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účastník</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32D6CE31" w14:textId="77777777" w:rsidR="001D15C1" w:rsidRDefault="001D15C1" w:rsidP="001D15C1">
      <w:pPr>
        <w:jc w:val="both"/>
        <w:rPr>
          <w:sz w:val="24"/>
          <w:szCs w:val="24"/>
        </w:rPr>
      </w:pPr>
    </w:p>
    <w:p w14:paraId="75B102C4" w14:textId="77777777" w:rsidR="003510B1" w:rsidRDefault="003510B1" w:rsidP="00F73633">
      <w:pPr>
        <w:jc w:val="both"/>
        <w:rPr>
          <w:sz w:val="24"/>
          <w:szCs w:val="24"/>
        </w:rPr>
      </w:pPr>
    </w:p>
    <w:p w14:paraId="22C418A9" w14:textId="77777777" w:rsidR="009D2B69" w:rsidRDefault="009D2B69" w:rsidP="00851E4A">
      <w:pPr>
        <w:pStyle w:val="Zkladntext"/>
        <w:jc w:val="center"/>
        <w:rPr>
          <w:b/>
        </w:rPr>
      </w:pPr>
      <w:r>
        <w:rPr>
          <w:b/>
        </w:rPr>
        <w:t>III.</w:t>
      </w:r>
    </w:p>
    <w:p w14:paraId="57F2BDD2" w14:textId="77777777" w:rsidR="009D2B69" w:rsidRDefault="009D2B69">
      <w:pPr>
        <w:pStyle w:val="Zkladntext"/>
        <w:jc w:val="center"/>
        <w:rPr>
          <w:b/>
          <w:bCs/>
        </w:rPr>
      </w:pPr>
      <w:r>
        <w:rPr>
          <w:b/>
          <w:bCs/>
        </w:rPr>
        <w:t>Úprava užívacích práv k výsledkům projektu</w:t>
      </w:r>
    </w:p>
    <w:p w14:paraId="1669047F" w14:textId="77777777" w:rsidR="00851E4A" w:rsidRDefault="00851E4A">
      <w:pPr>
        <w:pStyle w:val="Zkladntext"/>
        <w:jc w:val="center"/>
        <w:rPr>
          <w:b/>
        </w:rPr>
      </w:pPr>
    </w:p>
    <w:p w14:paraId="4AA9CB1E" w14:textId="77777777" w:rsidR="002B2D50" w:rsidRDefault="002B2D50" w:rsidP="002B2D50">
      <w:pPr>
        <w:pStyle w:val="Zkladntext"/>
        <w:ind w:left="720"/>
        <w:jc w:val="both"/>
        <w:rPr>
          <w:szCs w:val="24"/>
        </w:rPr>
      </w:pPr>
    </w:p>
    <w:p w14:paraId="52DA5E39" w14:textId="0E9C638E" w:rsidR="0043195C" w:rsidRDefault="00DB74FF" w:rsidP="0043195C">
      <w:pPr>
        <w:pStyle w:val="Zkladntext"/>
        <w:numPr>
          <w:ilvl w:val="0"/>
          <w:numId w:val="18"/>
        </w:numPr>
        <w:jc w:val="both"/>
      </w:pPr>
      <w:r>
        <w:t xml:space="preserve">Výsledky budou využity nejdéle do </w:t>
      </w:r>
      <w:r w:rsidR="00820B34">
        <w:t>5</w:t>
      </w:r>
      <w:r>
        <w:t xml:space="preserve"> </w:t>
      </w:r>
      <w:r>
        <w:rPr>
          <w:szCs w:val="24"/>
        </w:rPr>
        <w:t>let ukončení projektu</w:t>
      </w:r>
      <w:r w:rsidR="0043195C">
        <w:rPr>
          <w:szCs w:val="24"/>
        </w:rPr>
        <w:t xml:space="preserve"> především</w:t>
      </w:r>
      <w:r>
        <w:rPr>
          <w:szCs w:val="24"/>
        </w:rPr>
        <w:t xml:space="preserve"> </w:t>
      </w:r>
      <w:r w:rsidR="0043195C">
        <w:rPr>
          <w:szCs w:val="24"/>
        </w:rPr>
        <w:t xml:space="preserve">pro </w:t>
      </w:r>
      <w:r w:rsidR="0043195C">
        <w:t>účely dalšího výzkumu a vývoje bez souhlasu ostatních Smluvních stran. O průběhu dalšího výzkumu a vývoje se Smluvní strany zavazují navzájem průběžně poskytovat veškeré informace.</w:t>
      </w:r>
    </w:p>
    <w:p w14:paraId="723CC4C3" w14:textId="77777777" w:rsidR="00DB74FF" w:rsidRPr="0043195C" w:rsidRDefault="00DB74FF" w:rsidP="0043195C">
      <w:pPr>
        <w:pStyle w:val="Zkladntext"/>
        <w:ind w:left="720"/>
        <w:jc w:val="both"/>
        <w:rPr>
          <w:szCs w:val="24"/>
        </w:rPr>
      </w:pPr>
    </w:p>
    <w:p w14:paraId="205559DD" w14:textId="2E473848" w:rsidR="00724DFC" w:rsidRDefault="00946BAA" w:rsidP="00724DFC">
      <w:pPr>
        <w:pStyle w:val="Zkladntext"/>
        <w:numPr>
          <w:ilvl w:val="0"/>
          <w:numId w:val="18"/>
        </w:numPr>
        <w:ind w:hanging="720"/>
        <w:jc w:val="both"/>
        <w:rPr>
          <w:szCs w:val="24"/>
        </w:rPr>
      </w:pPr>
      <w:r>
        <w:t xml:space="preserve">Licenční smlouvy a jiné smlouvy o </w:t>
      </w:r>
      <w:r w:rsidRPr="00F73633">
        <w:t>využití</w:t>
      </w:r>
      <w:r>
        <w:t xml:space="preserve"> společného výsledku s případnými zájemci o užití výsledku (tj. s třetími osobami) uzavřou všichni spoluvlastníci výsledku</w:t>
      </w:r>
      <w:r w:rsidRPr="00F73633">
        <w:t>.</w:t>
      </w:r>
      <w:r w:rsidRPr="00164A5E">
        <w:rPr>
          <w:rFonts w:asciiTheme="minorHAnsi" w:hAnsiTheme="minorHAnsi"/>
        </w:rPr>
        <w:t xml:space="preserve"> </w:t>
      </w:r>
      <w:r>
        <w:t xml:space="preserve">  </w:t>
      </w:r>
      <w:r>
        <w:rPr>
          <w:szCs w:val="24"/>
        </w:rPr>
        <w:t xml:space="preserve">Příjmy z užívání výsledku plynoucí z takové smlouvy budou rozdělovány mezi smluvní strany </w:t>
      </w:r>
      <w:r>
        <w:rPr>
          <w:szCs w:val="24"/>
        </w:rPr>
        <w:lastRenderedPageBreak/>
        <w:t xml:space="preserve">v poměru spoluvlastnických podílů. </w:t>
      </w:r>
      <w:r w:rsidRPr="00F1777D">
        <w:rPr>
          <w:szCs w:val="24"/>
        </w:rPr>
        <w:t>Jednání o podmínkách komerč</w:t>
      </w:r>
      <w:r>
        <w:rPr>
          <w:szCs w:val="24"/>
        </w:rPr>
        <w:t>ního využití s případnými zájemci</w:t>
      </w:r>
      <w:r w:rsidRPr="00F1777D">
        <w:rPr>
          <w:szCs w:val="24"/>
        </w:rPr>
        <w:t xml:space="preserve"> může vést každá strana samostatně, o výsledku jednání informuje bezodkladně</w:t>
      </w:r>
      <w:r>
        <w:rPr>
          <w:szCs w:val="24"/>
        </w:rPr>
        <w:t xml:space="preserve"> ostatní</w:t>
      </w:r>
      <w:r w:rsidRPr="00F1777D">
        <w:rPr>
          <w:szCs w:val="24"/>
        </w:rPr>
        <w:t xml:space="preserve"> </w:t>
      </w:r>
      <w:r>
        <w:rPr>
          <w:szCs w:val="24"/>
        </w:rPr>
        <w:t>smluvní strany</w:t>
      </w:r>
      <w:r w:rsidR="003367C7" w:rsidRPr="00F1777D">
        <w:rPr>
          <w:szCs w:val="24"/>
        </w:rPr>
        <w:t>.</w:t>
      </w:r>
      <w:r w:rsidRPr="00946BAA">
        <w:t xml:space="preserve"> </w:t>
      </w:r>
      <w:bookmarkStart w:id="0" w:name="_Hlk26255965"/>
      <w:r w:rsidRPr="003605DF">
        <w:t>V případě, že některá ze smluvních stran odmítne</w:t>
      </w:r>
      <w:r w:rsidR="00E05DE4">
        <w:t xml:space="preserve"> bez řádného důvodu</w:t>
      </w:r>
      <w:r w:rsidRPr="003605DF">
        <w:t xml:space="preserve"> uzavřít licenční smlouvu k</w:t>
      </w:r>
      <w:r>
        <w:t>e společnému</w:t>
      </w:r>
      <w:r w:rsidRPr="003605DF">
        <w:t> výsledku projektu, ačkoli zájemce je ochoten ji uzavřít a uhradit úplatu za užití výsledku projektu nejméně ve výši tržní ceny, je tato strana povinna uhradit druhé smluvní straně</w:t>
      </w:r>
      <w:r w:rsidR="00283B49">
        <w:t xml:space="preserve"> (oprávněná strana) </w:t>
      </w:r>
      <w:r w:rsidRPr="003605DF">
        <w:t xml:space="preserve">kompenzaci představující výši úplaty, kterou </w:t>
      </w:r>
      <w:r>
        <w:t xml:space="preserve">by </w:t>
      </w:r>
      <w:r w:rsidRPr="003605DF">
        <w:t xml:space="preserve">byl dle předmětné licenční smlouvy zájemce povinen hradit </w:t>
      </w:r>
      <w:r w:rsidR="00283B49">
        <w:t>oprávněné</w:t>
      </w:r>
      <w:r w:rsidRPr="003605DF">
        <w:t xml:space="preserve"> smluvní straně, pokud by taková licenční smlouva platila po dobu dvou let. </w:t>
      </w:r>
      <w:bookmarkStart w:id="1" w:name="_Hlk7153700"/>
      <w:bookmarkStart w:id="2" w:name="_Hlk7152931"/>
      <w:r w:rsidRPr="003605DF">
        <w:t xml:space="preserve">Povinná smluvní strana uhradí celou výši kompenzace oprávněné smluvní straně jednorázově do 30 dnů od obdržení písemné výzvy k její úhradě. </w:t>
      </w:r>
      <w:bookmarkEnd w:id="1"/>
      <w:r w:rsidRPr="003605DF">
        <w:t xml:space="preserve"> Úhrada kompenzace neznamená, že smluvní strany nemohou jednat s jinými zájemci o uzavření licenční smlouvy, přičemž i na taková následná jednání se užije ustanovení tohoto odstavce</w:t>
      </w:r>
      <w:bookmarkEnd w:id="0"/>
      <w:r w:rsidRPr="003605DF">
        <w:t>.</w:t>
      </w:r>
      <w:bookmarkEnd w:id="2"/>
    </w:p>
    <w:p w14:paraId="056531DB" w14:textId="77777777" w:rsidR="00D53EA0" w:rsidRPr="00645E93" w:rsidRDefault="00D53EA0" w:rsidP="00B5372A">
      <w:pPr>
        <w:pStyle w:val="Zkladntext"/>
        <w:ind w:left="720"/>
        <w:jc w:val="both"/>
        <w:rPr>
          <w:szCs w:val="24"/>
        </w:rPr>
      </w:pPr>
    </w:p>
    <w:p w14:paraId="16364560" w14:textId="77777777" w:rsidR="00645E93" w:rsidRPr="00645E93" w:rsidRDefault="00645E93" w:rsidP="00645E93">
      <w:pPr>
        <w:pStyle w:val="Zkladntext"/>
        <w:numPr>
          <w:ilvl w:val="0"/>
          <w:numId w:val="18"/>
        </w:numPr>
        <w:ind w:hanging="720"/>
        <w:jc w:val="both"/>
        <w:rPr>
          <w:szCs w:val="24"/>
        </w:rPr>
      </w:pPr>
      <w:r>
        <w:t xml:space="preserve">Smluvní strany mohou </w:t>
      </w:r>
      <w:r w:rsidR="00AF438A">
        <w:t xml:space="preserve">společné </w:t>
      </w:r>
      <w:r>
        <w:t>výsledky užívat komerčně i nekomerčně. Kome</w:t>
      </w:r>
      <w:r w:rsidR="003367C7">
        <w:t>rčním užitím výsledku se rozumí</w:t>
      </w:r>
      <w:r w:rsidR="003367C7">
        <w:rPr>
          <w:szCs w:val="24"/>
        </w:rPr>
        <w:t xml:space="preserve"> jeho užití v rámci stávajícího či nového výrobku, technologie či služby a jejich uplatnění na trhu nebo použití pro koncepci a poskytování služby.</w:t>
      </w:r>
    </w:p>
    <w:p w14:paraId="3B102ACC" w14:textId="77777777" w:rsidR="00645E93" w:rsidRPr="00645E93" w:rsidRDefault="00645E93" w:rsidP="00645E93">
      <w:pPr>
        <w:pStyle w:val="Zkladntext"/>
        <w:ind w:left="720"/>
        <w:jc w:val="both"/>
        <w:rPr>
          <w:szCs w:val="24"/>
        </w:rPr>
      </w:pPr>
    </w:p>
    <w:p w14:paraId="7646B36A" w14:textId="604351C5" w:rsidR="00645E93" w:rsidRDefault="00645E93" w:rsidP="00645E93">
      <w:pPr>
        <w:pStyle w:val="Zkladntext"/>
        <w:numPr>
          <w:ilvl w:val="0"/>
          <w:numId w:val="18"/>
        </w:numPr>
        <w:ind w:hanging="720"/>
        <w:jc w:val="both"/>
        <w:rPr>
          <w:szCs w:val="24"/>
        </w:rPr>
      </w:pPr>
      <w:r w:rsidRPr="00645E93">
        <w:rPr>
          <w:szCs w:val="24"/>
        </w:rPr>
        <w:t xml:space="preserve">V případě komerčního využití </w:t>
      </w:r>
      <w:r>
        <w:rPr>
          <w:szCs w:val="24"/>
        </w:rPr>
        <w:t>společného výsledku</w:t>
      </w:r>
      <w:r w:rsidRPr="00645E93">
        <w:rPr>
          <w:szCs w:val="24"/>
        </w:rPr>
        <w:t xml:space="preserve"> jednou ze smluvních stran, náleží </w:t>
      </w:r>
      <w:r>
        <w:rPr>
          <w:szCs w:val="24"/>
        </w:rPr>
        <w:t>druhé smluvní straně</w:t>
      </w:r>
      <w:r w:rsidRPr="00645E93">
        <w:rPr>
          <w:szCs w:val="24"/>
        </w:rPr>
        <w:t xml:space="preserve"> </w:t>
      </w:r>
      <w:r w:rsidR="003432FD">
        <w:rPr>
          <w:szCs w:val="24"/>
        </w:rPr>
        <w:t xml:space="preserve">roční </w:t>
      </w:r>
      <w:r w:rsidR="00FF6E67">
        <w:rPr>
          <w:szCs w:val="24"/>
        </w:rPr>
        <w:t>poplatek</w:t>
      </w:r>
      <w:r w:rsidRPr="00645E93">
        <w:rPr>
          <w:szCs w:val="24"/>
        </w:rPr>
        <w:t xml:space="preserve"> ve výši </w:t>
      </w:r>
      <w:r w:rsidR="002D498B">
        <w:rPr>
          <w:szCs w:val="24"/>
        </w:rPr>
        <w:t>2</w:t>
      </w:r>
      <w:r w:rsidR="002D498B" w:rsidRPr="00645E93">
        <w:rPr>
          <w:szCs w:val="24"/>
        </w:rPr>
        <w:t xml:space="preserve"> </w:t>
      </w:r>
      <w:r w:rsidRPr="00645E93">
        <w:rPr>
          <w:szCs w:val="24"/>
        </w:rPr>
        <w:t>% z</w:t>
      </w:r>
      <w:r w:rsidR="001D025D">
        <w:rPr>
          <w:szCs w:val="24"/>
        </w:rPr>
        <w:t xml:space="preserve"> </w:t>
      </w:r>
      <w:r w:rsidRPr="00645E93">
        <w:rPr>
          <w:szCs w:val="24"/>
        </w:rPr>
        <w:t xml:space="preserve">prodejní ceny produktu či služby, ve kterých </w:t>
      </w:r>
      <w:r>
        <w:rPr>
          <w:szCs w:val="24"/>
        </w:rPr>
        <w:t>byl</w:t>
      </w:r>
      <w:r w:rsidRPr="00645E93">
        <w:rPr>
          <w:szCs w:val="24"/>
        </w:rPr>
        <w:t xml:space="preserve"> </w:t>
      </w:r>
      <w:r>
        <w:rPr>
          <w:szCs w:val="24"/>
        </w:rPr>
        <w:t>společný výsledek užit</w:t>
      </w:r>
      <w:r w:rsidR="003432FD">
        <w:rPr>
          <w:szCs w:val="24"/>
        </w:rPr>
        <w:t>. Poplatek bude vypočten</w:t>
      </w:r>
      <w:r w:rsidR="00661D68">
        <w:rPr>
          <w:szCs w:val="24"/>
        </w:rPr>
        <w:t xml:space="preserve"> </w:t>
      </w:r>
      <w:r w:rsidR="00B5372A">
        <w:rPr>
          <w:szCs w:val="24"/>
        </w:rPr>
        <w:t xml:space="preserve">vždy </w:t>
      </w:r>
      <w:r w:rsidR="00661D68">
        <w:rPr>
          <w:szCs w:val="24"/>
        </w:rPr>
        <w:t>z</w:t>
      </w:r>
      <w:r w:rsidR="002D498B">
        <w:rPr>
          <w:szCs w:val="24"/>
        </w:rPr>
        <w:t xml:space="preserve"> čisté </w:t>
      </w:r>
      <w:r w:rsidR="003432FD">
        <w:rPr>
          <w:szCs w:val="24"/>
        </w:rPr>
        <w:t xml:space="preserve">prodejní ceny </w:t>
      </w:r>
      <w:r w:rsidR="00B5372A">
        <w:rPr>
          <w:szCs w:val="24"/>
        </w:rPr>
        <w:t xml:space="preserve">všech </w:t>
      </w:r>
      <w:r w:rsidR="003432FD" w:rsidRPr="00645E93">
        <w:rPr>
          <w:szCs w:val="24"/>
        </w:rPr>
        <w:t>produkt</w:t>
      </w:r>
      <w:r w:rsidR="00B5372A">
        <w:rPr>
          <w:szCs w:val="24"/>
        </w:rPr>
        <w:t>ů</w:t>
      </w:r>
      <w:r w:rsidR="003432FD" w:rsidRPr="00645E93">
        <w:rPr>
          <w:szCs w:val="24"/>
        </w:rPr>
        <w:t xml:space="preserve"> či služ</w:t>
      </w:r>
      <w:r w:rsidR="00B5372A">
        <w:rPr>
          <w:szCs w:val="24"/>
        </w:rPr>
        <w:t>e</w:t>
      </w:r>
      <w:r w:rsidR="003432FD" w:rsidRPr="00645E93">
        <w:rPr>
          <w:szCs w:val="24"/>
        </w:rPr>
        <w:t xml:space="preserve">b, ve kterých </w:t>
      </w:r>
      <w:r w:rsidR="003432FD">
        <w:rPr>
          <w:szCs w:val="24"/>
        </w:rPr>
        <w:t>byl</w:t>
      </w:r>
      <w:r w:rsidR="003432FD" w:rsidRPr="00645E93">
        <w:rPr>
          <w:szCs w:val="24"/>
        </w:rPr>
        <w:t xml:space="preserve"> </w:t>
      </w:r>
      <w:r w:rsidR="003432FD">
        <w:rPr>
          <w:szCs w:val="24"/>
        </w:rPr>
        <w:t>společný výsledek užit, za</w:t>
      </w:r>
      <w:r w:rsidR="00661D68">
        <w:rPr>
          <w:szCs w:val="24"/>
        </w:rPr>
        <w:t xml:space="preserve"> předchozí kalendářní rok</w:t>
      </w:r>
      <w:r w:rsidRPr="00645E93">
        <w:rPr>
          <w:szCs w:val="24"/>
        </w:rPr>
        <w:t xml:space="preserve">. </w:t>
      </w:r>
      <w:r w:rsidR="00C26D33">
        <w:rPr>
          <w:szCs w:val="24"/>
        </w:rPr>
        <w:t>P</w:t>
      </w:r>
      <w:r w:rsidRPr="00645E93">
        <w:rPr>
          <w:szCs w:val="24"/>
        </w:rPr>
        <w:t>rodejní cenou se rozumí cena, za kterou smluvní strana prodá produkt či službu, ve kterých byl</w:t>
      </w:r>
      <w:r>
        <w:rPr>
          <w:szCs w:val="24"/>
        </w:rPr>
        <w:t xml:space="preserve"> společný výsledek užit</w:t>
      </w:r>
      <w:r w:rsidRPr="00645E93">
        <w:rPr>
          <w:szCs w:val="24"/>
        </w:rPr>
        <w:t xml:space="preserve">. </w:t>
      </w:r>
    </w:p>
    <w:p w14:paraId="115DEB83" w14:textId="77777777" w:rsidR="00645E93" w:rsidRDefault="00645E93" w:rsidP="00645E93">
      <w:pPr>
        <w:pStyle w:val="Zkladntext"/>
        <w:ind w:left="720"/>
        <w:jc w:val="both"/>
        <w:rPr>
          <w:szCs w:val="24"/>
        </w:rPr>
      </w:pPr>
    </w:p>
    <w:p w14:paraId="26BC8BA3" w14:textId="7B6E5340" w:rsidR="002D72BB" w:rsidRDefault="00645E93" w:rsidP="002D72BB">
      <w:pPr>
        <w:pStyle w:val="Zkladntext"/>
        <w:numPr>
          <w:ilvl w:val="0"/>
          <w:numId w:val="18"/>
        </w:numPr>
        <w:ind w:hanging="720"/>
        <w:jc w:val="both"/>
        <w:rPr>
          <w:szCs w:val="24"/>
        </w:rPr>
      </w:pPr>
      <w:r w:rsidRPr="00AF438A">
        <w:rPr>
          <w:szCs w:val="24"/>
        </w:rPr>
        <w:t>Smluvní strana před tím, než začne společný výsledek užívat komerčně, bude o této skutečnosti informovat druhou smluvní stranu. Smluvní strana, která komerčně užívá společný výsledek</w:t>
      </w:r>
      <w:r w:rsidR="00AF438A">
        <w:rPr>
          <w:szCs w:val="24"/>
        </w:rPr>
        <w:t xml:space="preserve"> </w:t>
      </w:r>
      <w:r w:rsidR="00AF438A" w:rsidRPr="00AF438A">
        <w:rPr>
          <w:szCs w:val="24"/>
        </w:rPr>
        <w:t>(</w:t>
      </w:r>
      <w:r w:rsidR="00AF438A" w:rsidRPr="00AF438A">
        <w:rPr>
          <w:rFonts w:eastAsia="Arial"/>
          <w:color w:val="000000"/>
          <w:spacing w:val="2"/>
        </w:rPr>
        <w:t>povinná strana),</w:t>
      </w:r>
      <w:r w:rsidR="00AF438A" w:rsidRPr="00AF438A" w:rsidDel="00EE04B0">
        <w:rPr>
          <w:rFonts w:eastAsia="Arial"/>
          <w:color w:val="000000"/>
          <w:spacing w:val="2"/>
        </w:rPr>
        <w:t xml:space="preserve"> </w:t>
      </w:r>
      <w:r w:rsidR="00AF438A" w:rsidRPr="00AF438A">
        <w:rPr>
          <w:rFonts w:eastAsia="Arial"/>
          <w:color w:val="000000"/>
          <w:spacing w:val="2"/>
        </w:rPr>
        <w:t>je povi</w:t>
      </w:r>
      <w:r w:rsidR="00AF438A" w:rsidRPr="00AF438A">
        <w:rPr>
          <w:rFonts w:eastAsia="Arial"/>
        </w:rPr>
        <w:t>nna</w:t>
      </w:r>
      <w:r w:rsidR="00AF438A" w:rsidRPr="00AF438A">
        <w:rPr>
          <w:rFonts w:eastAsia="Arial"/>
          <w:color w:val="000000"/>
          <w:spacing w:val="2"/>
        </w:rPr>
        <w:t xml:space="preserve"> zaslat předběžné vyúčtování </w:t>
      </w:r>
      <w:r w:rsidR="00AF438A" w:rsidRPr="00AF438A">
        <w:rPr>
          <w:szCs w:val="24"/>
        </w:rPr>
        <w:t>poplatku dle předchozího odstavce</w:t>
      </w:r>
      <w:r w:rsidR="00AF438A" w:rsidRPr="00A5390B">
        <w:rPr>
          <w:rFonts w:eastAsia="Arial"/>
          <w:color w:val="000000"/>
          <w:spacing w:val="2"/>
        </w:rPr>
        <w:t xml:space="preserve"> druhé smluvní straně (oprávněná strana), a to nejpozději do 10. ledna daného kalendářního roku za rok předcházející</w:t>
      </w:r>
      <w:r w:rsidR="00AF438A" w:rsidRPr="00A5390B">
        <w:rPr>
          <w:szCs w:val="24"/>
        </w:rPr>
        <w:t>. </w:t>
      </w:r>
      <w:r w:rsidR="00AF438A">
        <w:rPr>
          <w:szCs w:val="24"/>
        </w:rPr>
        <w:t>ZČU</w:t>
      </w:r>
      <w:r w:rsidR="00AF438A" w:rsidRPr="00AF438A">
        <w:rPr>
          <w:szCs w:val="24"/>
        </w:rPr>
        <w:t xml:space="preserve"> bude vyúčtování zasláno e-mailem na adresu: </w:t>
      </w:r>
      <w:hyperlink r:id="rId8" w:history="1">
        <w:r w:rsidR="001A3F1E">
          <w:rPr>
            <w:rStyle w:val="Hypertextovodkaz"/>
            <w:szCs w:val="24"/>
          </w:rPr>
          <w:t>x</w:t>
        </w:r>
      </w:hyperlink>
      <w:r w:rsidR="00AF438A" w:rsidRPr="00AF438A">
        <w:rPr>
          <w:szCs w:val="24"/>
        </w:rPr>
        <w:t xml:space="preserve"> a do datové schránky</w:t>
      </w:r>
      <w:r w:rsidR="00871C3B">
        <w:rPr>
          <w:szCs w:val="24"/>
        </w:rPr>
        <w:t xml:space="preserve"> </w:t>
      </w:r>
      <w:r w:rsidR="00871C3B" w:rsidRPr="00DE4FA0">
        <w:rPr>
          <w:b/>
        </w:rPr>
        <w:t>zqfj9hj</w:t>
      </w:r>
      <w:r w:rsidR="00AF438A" w:rsidRPr="00AF438A">
        <w:rPr>
          <w:szCs w:val="24"/>
        </w:rPr>
        <w:t xml:space="preserve"> bude vyúčtování zasláno na e-mailovou adresu: </w:t>
      </w:r>
      <w:hyperlink r:id="rId9" w:history="1">
        <w:r w:rsidR="001A3F1E">
          <w:rPr>
            <w:rStyle w:val="Hypertextovodkaz"/>
            <w:szCs w:val="24"/>
          </w:rPr>
          <w:t>x</w:t>
        </w:r>
      </w:hyperlink>
      <w:r w:rsidR="001924F7" w:rsidRPr="00AF438A">
        <w:rPr>
          <w:szCs w:val="24"/>
        </w:rPr>
        <w:t xml:space="preserve"> </w:t>
      </w:r>
      <w:r w:rsidR="00AF438A" w:rsidRPr="00AF438A">
        <w:rPr>
          <w:szCs w:val="24"/>
        </w:rPr>
        <w:t xml:space="preserve">. Oprávněná strana je povinna vystavit a doručit povinné straně originál daňového dokladu (faktura). </w:t>
      </w:r>
      <w:r w:rsidR="00AF438A" w:rsidRPr="00AF438A">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A5390B">
        <w:rPr>
          <w:szCs w:val="24"/>
        </w:rPr>
        <w:t xml:space="preserve">. </w:t>
      </w:r>
    </w:p>
    <w:p w14:paraId="65CE02AE" w14:textId="2238C493" w:rsidR="002D72BB" w:rsidRPr="002D72BB" w:rsidRDefault="002D72BB" w:rsidP="001D025D">
      <w:pPr>
        <w:pStyle w:val="Zkladntext"/>
        <w:ind w:left="720"/>
        <w:jc w:val="both"/>
        <w:rPr>
          <w:szCs w:val="24"/>
        </w:rPr>
      </w:pPr>
    </w:p>
    <w:p w14:paraId="11833806" w14:textId="4248B49A" w:rsidR="00AF438A" w:rsidRPr="009B434C" w:rsidRDefault="00AF438A" w:rsidP="00AF438A">
      <w:pPr>
        <w:pStyle w:val="Zkladntext"/>
        <w:numPr>
          <w:ilvl w:val="0"/>
          <w:numId w:val="18"/>
        </w:numPr>
        <w:ind w:hanging="720"/>
        <w:jc w:val="both"/>
        <w:rPr>
          <w:szCs w:val="24"/>
        </w:rPr>
      </w:pPr>
      <w:r>
        <w:rPr>
          <w:szCs w:val="24"/>
        </w:rPr>
        <w:t xml:space="preserve">Povinná strana </w:t>
      </w:r>
      <w:r w:rsidRPr="00DF2CD3">
        <w:t>má dále povinnost do 28.</w:t>
      </w:r>
      <w:r>
        <w:t xml:space="preserve"> února</w:t>
      </w:r>
      <w:r w:rsidRPr="00DF2CD3">
        <w:t xml:space="preserve"> da</w:t>
      </w:r>
      <w:r>
        <w:t>ného roku zaslat oprávněné straně</w:t>
      </w:r>
      <w:r w:rsidRPr="00DF2CD3">
        <w:t xml:space="preserve"> na </w:t>
      </w:r>
      <w:r>
        <w:t xml:space="preserve">výše uvedený </w:t>
      </w:r>
      <w:r w:rsidRPr="00DF2CD3">
        <w:rPr>
          <w:rFonts w:eastAsia="Arial"/>
          <w:color w:val="000000"/>
          <w:spacing w:val="2"/>
        </w:rPr>
        <w:t xml:space="preserve">e-mail </w:t>
      </w:r>
      <w:r>
        <w:rPr>
          <w:rFonts w:eastAsia="Arial"/>
          <w:color w:val="000000"/>
          <w:spacing w:val="2"/>
        </w:rPr>
        <w:t>a do datové schránky</w:t>
      </w:r>
      <w:r w:rsidRPr="00DF2CD3" w:rsidDel="003750EB">
        <w:t xml:space="preserve"> </w:t>
      </w:r>
      <w:r w:rsidRPr="00DF2CD3">
        <w:t xml:space="preserve">konečné vyúčtování. </w:t>
      </w:r>
      <w:r>
        <w:t>Bude-li třeba, oprávněná</w:t>
      </w:r>
      <w:r w:rsidRPr="00DF2CD3">
        <w:t xml:space="preserve"> strana do </w:t>
      </w:r>
      <w:r>
        <w:t>deseti</w:t>
      </w:r>
      <w:r w:rsidRPr="00DF2CD3">
        <w:t xml:space="preserve"> pracovních dní od doručení konečného vyúčtování </w:t>
      </w:r>
      <w:r>
        <w:t>vystaví konečnou fakturu na poplatek za užívání výsledku v přechozím roce.</w:t>
      </w:r>
    </w:p>
    <w:p w14:paraId="0AE5C2AD" w14:textId="77777777" w:rsidR="009B434C" w:rsidRPr="00880FC9" w:rsidRDefault="009B434C" w:rsidP="009B434C">
      <w:pPr>
        <w:pStyle w:val="Zkladntext"/>
        <w:ind w:left="720"/>
        <w:jc w:val="both"/>
        <w:rPr>
          <w:szCs w:val="24"/>
        </w:rPr>
      </w:pPr>
    </w:p>
    <w:p w14:paraId="7208EAE9" w14:textId="66D565E5" w:rsidR="00645E93" w:rsidRDefault="00AF438A" w:rsidP="00AF438A">
      <w:pPr>
        <w:pStyle w:val="Zkladntext"/>
        <w:numPr>
          <w:ilvl w:val="0"/>
          <w:numId w:val="18"/>
        </w:numPr>
        <w:ind w:hanging="720"/>
        <w:jc w:val="both"/>
        <w:rPr>
          <w:szCs w:val="24"/>
        </w:rPr>
      </w:pPr>
      <w:r w:rsidRPr="00645E93">
        <w:rPr>
          <w:szCs w:val="24"/>
        </w:rPr>
        <w:t>K </w:t>
      </w:r>
      <w:r>
        <w:rPr>
          <w:szCs w:val="24"/>
        </w:rPr>
        <w:t>poplatku</w:t>
      </w:r>
      <w:r w:rsidRPr="00645E93">
        <w:rPr>
          <w:szCs w:val="24"/>
        </w:rPr>
        <w:t xml:space="preserve"> určené</w:t>
      </w:r>
      <w:r>
        <w:rPr>
          <w:szCs w:val="24"/>
        </w:rPr>
        <w:t>mu</w:t>
      </w:r>
      <w:r w:rsidRPr="00645E93">
        <w:rPr>
          <w:szCs w:val="24"/>
        </w:rPr>
        <w:t xml:space="preserve"> dle předch</w:t>
      </w:r>
      <w:r>
        <w:rPr>
          <w:szCs w:val="24"/>
        </w:rPr>
        <w:t>oz</w:t>
      </w:r>
      <w:r w:rsidRPr="00645E93">
        <w:rPr>
          <w:szCs w:val="24"/>
        </w:rPr>
        <w:t>ího odstavce bude připočtena DPH</w:t>
      </w:r>
      <w:r>
        <w:rPr>
          <w:szCs w:val="24"/>
        </w:rPr>
        <w:t>, poplatek</w:t>
      </w:r>
      <w:r w:rsidRPr="00645E93">
        <w:rPr>
          <w:szCs w:val="24"/>
        </w:rPr>
        <w:t xml:space="preserve"> bude uhrazen na základě faktury vystavené </w:t>
      </w:r>
      <w:r>
        <w:rPr>
          <w:szCs w:val="24"/>
        </w:rPr>
        <w:t>oprávněnou</w:t>
      </w:r>
      <w:r w:rsidRPr="00645E93">
        <w:rPr>
          <w:szCs w:val="24"/>
        </w:rPr>
        <w:t xml:space="preserve"> smluvní stranou</w:t>
      </w:r>
      <w:r>
        <w:rPr>
          <w:szCs w:val="24"/>
        </w:rPr>
        <w:t>,</w:t>
      </w:r>
      <w:r w:rsidRPr="00645E93">
        <w:rPr>
          <w:szCs w:val="24"/>
        </w:rPr>
        <w:t xml:space="preserve"> se splatností </w:t>
      </w:r>
      <w:r>
        <w:rPr>
          <w:szCs w:val="24"/>
        </w:rPr>
        <w:t>30</w:t>
      </w:r>
      <w:r w:rsidRPr="00645E93">
        <w:rPr>
          <w:szCs w:val="24"/>
        </w:rPr>
        <w:t xml:space="preserve"> dní</w:t>
      </w:r>
      <w:r>
        <w:rPr>
          <w:szCs w:val="24"/>
        </w:rPr>
        <w:t>.</w:t>
      </w:r>
      <w:r w:rsidR="00645E93" w:rsidRPr="00645E93">
        <w:rPr>
          <w:szCs w:val="24"/>
        </w:rPr>
        <w:t xml:space="preserve"> </w:t>
      </w:r>
    </w:p>
    <w:p w14:paraId="5B28D757" w14:textId="77777777" w:rsidR="00645E93" w:rsidRDefault="00645E93" w:rsidP="00645E93">
      <w:pPr>
        <w:pStyle w:val="Zkladntext"/>
        <w:ind w:left="720"/>
        <w:jc w:val="both"/>
        <w:rPr>
          <w:szCs w:val="24"/>
        </w:rPr>
      </w:pPr>
    </w:p>
    <w:p w14:paraId="48DA179F" w14:textId="3B23E406" w:rsidR="00645E93" w:rsidRDefault="00645E93" w:rsidP="00645E93">
      <w:pPr>
        <w:pStyle w:val="Zkladntext"/>
        <w:numPr>
          <w:ilvl w:val="0"/>
          <w:numId w:val="18"/>
        </w:numPr>
        <w:ind w:hanging="720"/>
        <w:jc w:val="both"/>
        <w:rPr>
          <w:szCs w:val="24"/>
        </w:rPr>
      </w:pPr>
      <w:r w:rsidRPr="00645E93">
        <w:rPr>
          <w:szCs w:val="24"/>
        </w:rPr>
        <w:t xml:space="preserve">V případě prodlení s předložením vyúčtování </w:t>
      </w:r>
      <w:r w:rsidR="0034355A">
        <w:rPr>
          <w:szCs w:val="24"/>
        </w:rPr>
        <w:t>poplatku</w:t>
      </w:r>
      <w:r w:rsidRPr="00645E93">
        <w:rPr>
          <w:szCs w:val="24"/>
        </w:rPr>
        <w:t xml:space="preserve"> je </w:t>
      </w:r>
      <w:r w:rsidR="0034355A">
        <w:rPr>
          <w:szCs w:val="24"/>
        </w:rPr>
        <w:t xml:space="preserve">smluvní strana využívající </w:t>
      </w:r>
      <w:r w:rsidR="00927411">
        <w:rPr>
          <w:szCs w:val="24"/>
        </w:rPr>
        <w:t xml:space="preserve">společný </w:t>
      </w:r>
      <w:r w:rsidR="0034355A">
        <w:rPr>
          <w:szCs w:val="24"/>
        </w:rPr>
        <w:t xml:space="preserve">výsledek </w:t>
      </w:r>
      <w:r w:rsidRPr="00645E93">
        <w:rPr>
          <w:szCs w:val="24"/>
        </w:rPr>
        <w:t xml:space="preserve">povinna </w:t>
      </w:r>
      <w:r w:rsidR="0034355A">
        <w:rPr>
          <w:szCs w:val="24"/>
        </w:rPr>
        <w:t>druhé</w:t>
      </w:r>
      <w:r w:rsidR="0034355A" w:rsidRPr="00645E93">
        <w:rPr>
          <w:szCs w:val="24"/>
        </w:rPr>
        <w:t xml:space="preserve"> </w:t>
      </w:r>
      <w:r w:rsidRPr="00645E93">
        <w:rPr>
          <w:szCs w:val="24"/>
        </w:rPr>
        <w:t xml:space="preserve">smluvní straně </w:t>
      </w:r>
      <w:r w:rsidR="0034355A">
        <w:rPr>
          <w:szCs w:val="24"/>
        </w:rPr>
        <w:t xml:space="preserve">uhradit </w:t>
      </w:r>
      <w:r w:rsidRPr="00645E93">
        <w:rPr>
          <w:szCs w:val="24"/>
        </w:rPr>
        <w:t xml:space="preserve">smluvní pokutu ve výši 300,- Kč za každý, byť započatý den prodlení. </w:t>
      </w:r>
      <w:r w:rsidR="00FF6E67">
        <w:rPr>
          <w:szCs w:val="24"/>
        </w:rPr>
        <w:t>Ujednáním o s</w:t>
      </w:r>
      <w:r w:rsidRPr="00645E93">
        <w:rPr>
          <w:szCs w:val="24"/>
        </w:rPr>
        <w:t>mluvní pokut</w:t>
      </w:r>
      <w:r w:rsidR="00FF6E67">
        <w:rPr>
          <w:szCs w:val="24"/>
        </w:rPr>
        <w:t>ě</w:t>
      </w:r>
      <w:r w:rsidRPr="00645E93">
        <w:rPr>
          <w:szCs w:val="24"/>
        </w:rPr>
        <w:t xml:space="preserve"> ne</w:t>
      </w:r>
      <w:r w:rsidR="00FF6E67">
        <w:rPr>
          <w:szCs w:val="24"/>
        </w:rPr>
        <w:t xml:space="preserve">ní dotčeno právo na </w:t>
      </w:r>
      <w:r w:rsidRPr="00645E93">
        <w:rPr>
          <w:szCs w:val="24"/>
        </w:rPr>
        <w:t>náhradu škody</w:t>
      </w:r>
      <w:r w:rsidR="0034355A">
        <w:rPr>
          <w:szCs w:val="24"/>
        </w:rPr>
        <w:t xml:space="preserve"> v plné výši</w:t>
      </w:r>
      <w:r w:rsidRPr="00645E93">
        <w:rPr>
          <w:szCs w:val="24"/>
        </w:rPr>
        <w:t xml:space="preserve">. </w:t>
      </w:r>
    </w:p>
    <w:p w14:paraId="71C901A1" w14:textId="77777777" w:rsidR="00FF6E67" w:rsidRDefault="00FF6E67" w:rsidP="00B5372A">
      <w:pPr>
        <w:pStyle w:val="Odstavecseseznamem"/>
        <w:rPr>
          <w:szCs w:val="24"/>
        </w:rPr>
      </w:pPr>
    </w:p>
    <w:p w14:paraId="475079A5" w14:textId="2883851E" w:rsidR="00FF6E67" w:rsidRDefault="00FF6E67" w:rsidP="00645E93">
      <w:pPr>
        <w:pStyle w:val="Zkladntext"/>
        <w:numPr>
          <w:ilvl w:val="0"/>
          <w:numId w:val="18"/>
        </w:numPr>
        <w:ind w:hanging="720"/>
        <w:jc w:val="both"/>
        <w:rPr>
          <w:szCs w:val="24"/>
        </w:rPr>
      </w:pPr>
      <w:r>
        <w:rPr>
          <w:szCs w:val="24"/>
        </w:rPr>
        <w:t xml:space="preserve">Nezaplatí-li smluvní strana využívající </w:t>
      </w:r>
      <w:r w:rsidR="00927411">
        <w:rPr>
          <w:szCs w:val="24"/>
        </w:rPr>
        <w:t xml:space="preserve">společný </w:t>
      </w:r>
      <w:r>
        <w:rPr>
          <w:szCs w:val="24"/>
        </w:rPr>
        <w:t>výsledek poplatek dle tohoto článku včas, je povinn</w:t>
      </w:r>
      <w:r w:rsidR="0034355A">
        <w:rPr>
          <w:szCs w:val="24"/>
        </w:rPr>
        <w:t>a</w:t>
      </w:r>
      <w:r>
        <w:rPr>
          <w:szCs w:val="24"/>
        </w:rPr>
        <w:t xml:space="preserve"> hradit druhé smluvní straně smluvní pokutu ve výši 0,1 % z dlužné částky za </w:t>
      </w:r>
      <w:r>
        <w:rPr>
          <w:szCs w:val="24"/>
        </w:rPr>
        <w:lastRenderedPageBreak/>
        <w:t>každý, i započatý, den prodlení. Ujednáním o s</w:t>
      </w:r>
      <w:r w:rsidRPr="00645E93">
        <w:rPr>
          <w:szCs w:val="24"/>
        </w:rPr>
        <w:t>mluvní pokut</w:t>
      </w:r>
      <w:r>
        <w:rPr>
          <w:szCs w:val="24"/>
        </w:rPr>
        <w:t>ě</w:t>
      </w:r>
      <w:r w:rsidRPr="00645E93">
        <w:rPr>
          <w:szCs w:val="24"/>
        </w:rPr>
        <w:t xml:space="preserve"> ne</w:t>
      </w:r>
      <w:r>
        <w:rPr>
          <w:szCs w:val="24"/>
        </w:rPr>
        <w:t>ní dotčeno právo na</w:t>
      </w:r>
      <w:r w:rsidRPr="00645E93">
        <w:rPr>
          <w:szCs w:val="24"/>
        </w:rPr>
        <w:t xml:space="preserve"> náhradu škody</w:t>
      </w:r>
      <w:r w:rsidR="0034355A">
        <w:rPr>
          <w:szCs w:val="24"/>
        </w:rPr>
        <w:t xml:space="preserve"> v plné výši</w:t>
      </w:r>
      <w:r>
        <w:rPr>
          <w:szCs w:val="24"/>
        </w:rPr>
        <w:t>.</w:t>
      </w:r>
    </w:p>
    <w:p w14:paraId="75578807" w14:textId="77777777" w:rsidR="003432FD" w:rsidRDefault="003432FD" w:rsidP="00B5372A">
      <w:pPr>
        <w:pStyle w:val="Odstavecseseznamem"/>
        <w:rPr>
          <w:szCs w:val="24"/>
        </w:rPr>
      </w:pPr>
    </w:p>
    <w:p w14:paraId="3A0A739F" w14:textId="77777777" w:rsidR="003432FD" w:rsidRPr="003432FD" w:rsidRDefault="003432FD" w:rsidP="00645E93">
      <w:pPr>
        <w:pStyle w:val="Zkladntext"/>
        <w:numPr>
          <w:ilvl w:val="0"/>
          <w:numId w:val="18"/>
        </w:numPr>
        <w:ind w:hanging="720"/>
        <w:jc w:val="both"/>
        <w:rPr>
          <w:szCs w:val="24"/>
        </w:rPr>
      </w:pPr>
      <w:r w:rsidRPr="00B5372A">
        <w:rPr>
          <w:szCs w:val="24"/>
        </w:rPr>
        <w:t>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druhé smluvní straně náklady vynaložené na činnost znalce dle tohoto odstavce</w:t>
      </w:r>
      <w:r>
        <w:rPr>
          <w:szCs w:val="24"/>
        </w:rPr>
        <w:t>.</w:t>
      </w:r>
    </w:p>
    <w:p w14:paraId="3E027700" w14:textId="77777777" w:rsidR="00FF6E67" w:rsidRDefault="00FF6E67" w:rsidP="00B5372A">
      <w:pPr>
        <w:pStyle w:val="Odstavecseseznamem"/>
        <w:rPr>
          <w:szCs w:val="24"/>
        </w:rPr>
      </w:pPr>
    </w:p>
    <w:p w14:paraId="7F9C057A" w14:textId="77777777" w:rsidR="00DF0B4A" w:rsidRDefault="00DF0B4A">
      <w:pPr>
        <w:pStyle w:val="Zkladntext"/>
        <w:jc w:val="center"/>
        <w:rPr>
          <w:b/>
        </w:rPr>
      </w:pPr>
    </w:p>
    <w:p w14:paraId="619D421A" w14:textId="77777777" w:rsidR="00744F3A" w:rsidRDefault="00744F3A" w:rsidP="00D26A98">
      <w:pPr>
        <w:jc w:val="both"/>
        <w:rPr>
          <w:b/>
        </w:rPr>
      </w:pPr>
    </w:p>
    <w:p w14:paraId="68FDC678" w14:textId="77777777" w:rsidR="009D2B69" w:rsidRDefault="008259DF">
      <w:pPr>
        <w:pStyle w:val="Zkladntext"/>
        <w:jc w:val="center"/>
        <w:rPr>
          <w:b/>
        </w:rPr>
      </w:pPr>
      <w:r>
        <w:rPr>
          <w:b/>
        </w:rPr>
        <w:t>I</w:t>
      </w:r>
      <w:r w:rsidR="009D2B69">
        <w:rPr>
          <w:b/>
        </w:rPr>
        <w:t>V.</w:t>
      </w:r>
    </w:p>
    <w:p w14:paraId="6AB3E06E" w14:textId="77777777" w:rsidR="009D2B69" w:rsidRDefault="009D2B69">
      <w:pPr>
        <w:pStyle w:val="Zkladntext"/>
        <w:jc w:val="center"/>
        <w:rPr>
          <w:b/>
        </w:rPr>
      </w:pPr>
      <w:r>
        <w:rPr>
          <w:b/>
        </w:rPr>
        <w:t>Důvěrnost informací</w:t>
      </w:r>
    </w:p>
    <w:p w14:paraId="11B5B8F3" w14:textId="77777777" w:rsidR="009D2B69" w:rsidRDefault="009D2B69" w:rsidP="00D26A98">
      <w:pPr>
        <w:jc w:val="both"/>
        <w:rPr>
          <w:sz w:val="24"/>
        </w:rPr>
      </w:pPr>
    </w:p>
    <w:p w14:paraId="038505B8" w14:textId="6E4AB816"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E929B0">
        <w:rPr>
          <w:sz w:val="24"/>
          <w:szCs w:val="24"/>
        </w:rPr>
        <w:t>a), b), c), d)</w:t>
      </w:r>
      <w:r w:rsidR="006344BA">
        <w:rPr>
          <w:sz w:val="24"/>
          <w:szCs w:val="24"/>
        </w:rPr>
        <w:t xml:space="preserve">, </w:t>
      </w:r>
      <w:proofErr w:type="gramStart"/>
      <w:r w:rsidR="006344BA">
        <w:rPr>
          <w:sz w:val="24"/>
          <w:szCs w:val="24"/>
        </w:rPr>
        <w:t>e)</w:t>
      </w:r>
      <w:r w:rsidR="00DC02B1" w:rsidRPr="00B5372A">
        <w:rPr>
          <w:sz w:val="24"/>
          <w:szCs w:val="24"/>
        </w:rPr>
        <w:t xml:space="preserve"> </w:t>
      </w:r>
      <w:r w:rsidRPr="00B5372A">
        <w:rPr>
          <w:sz w:val="24"/>
          <w:szCs w:val="24"/>
        </w:rPr>
        <w:t xml:space="preserve"> </w:t>
      </w:r>
      <w:r w:rsidR="003209CA">
        <w:rPr>
          <w:sz w:val="24"/>
          <w:szCs w:val="24"/>
        </w:rPr>
        <w:t>této</w:t>
      </w:r>
      <w:proofErr w:type="gramEnd"/>
      <w:r w:rsidR="003209CA">
        <w:rPr>
          <w:sz w:val="24"/>
          <w:szCs w:val="24"/>
        </w:rPr>
        <w:t xml:space="preserve"> smlouvy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554CD1">
        <w:rPr>
          <w:sz w:val="24"/>
          <w:szCs w:val="24"/>
        </w:rPr>
        <w:t xml:space="preserve">druhé smluvní strany </w:t>
      </w:r>
      <w:r w:rsidRPr="00B5372A">
        <w:rPr>
          <w:sz w:val="24"/>
          <w:szCs w:val="24"/>
        </w:rPr>
        <w:t>nevyzradit žádné třetí osobě bez předchozího písemného souhlasu druhé 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14:paraId="2139033E" w14:textId="77777777" w:rsidR="00D53EA0" w:rsidRPr="00B5372A" w:rsidRDefault="00D53EA0" w:rsidP="00B5372A">
      <w:pPr>
        <w:pStyle w:val="Odstavecseseznamem"/>
        <w:spacing w:after="120"/>
        <w:jc w:val="both"/>
        <w:rPr>
          <w:sz w:val="24"/>
          <w:szCs w:val="24"/>
        </w:rPr>
      </w:pPr>
    </w:p>
    <w:p w14:paraId="233E191F" w14:textId="77777777" w:rsidR="00DC02B1" w:rsidRPr="00D53EA0" w:rsidRDefault="00DC02B1" w:rsidP="00B5372A">
      <w:pPr>
        <w:pStyle w:val="Odstavecseseznamem"/>
        <w:numPr>
          <w:ilvl w:val="0"/>
          <w:numId w:val="32"/>
        </w:numPr>
        <w:spacing w:after="120"/>
        <w:ind w:hanging="720"/>
        <w:jc w:val="both"/>
        <w:rPr>
          <w:szCs w:val="24"/>
        </w:rPr>
      </w:pPr>
      <w:r w:rsidRPr="00B5372A">
        <w:rPr>
          <w:sz w:val="24"/>
          <w:szCs w:val="24"/>
        </w:rPr>
        <w:t xml:space="preserve">Výsledky nevyjmenované v odst. 1 tohoto článku netvoří obchodní tajemství smluvních stran a informace o nich je možné volně šířit. </w:t>
      </w:r>
    </w:p>
    <w:p w14:paraId="20568B90" w14:textId="77777777" w:rsidR="007A7C5E" w:rsidRDefault="007A7C5E" w:rsidP="00D26A98">
      <w:pPr>
        <w:jc w:val="both"/>
      </w:pPr>
    </w:p>
    <w:p w14:paraId="3334C9DD" w14:textId="77777777" w:rsidR="009D2B69" w:rsidRDefault="008259DF">
      <w:pPr>
        <w:pStyle w:val="Zkladntext"/>
        <w:jc w:val="center"/>
        <w:rPr>
          <w:b/>
        </w:rPr>
      </w:pPr>
      <w:r>
        <w:rPr>
          <w:b/>
        </w:rPr>
        <w:t>V</w:t>
      </w:r>
      <w:r w:rsidR="009D2B69">
        <w:rPr>
          <w:b/>
        </w:rPr>
        <w:t>.</w:t>
      </w:r>
    </w:p>
    <w:p w14:paraId="0B30DFC1" w14:textId="77777777" w:rsidR="009D2B69" w:rsidRDefault="009D2B69">
      <w:pPr>
        <w:jc w:val="center"/>
        <w:rPr>
          <w:b/>
          <w:bCs/>
          <w:sz w:val="24"/>
        </w:rPr>
      </w:pPr>
      <w:r>
        <w:rPr>
          <w:b/>
          <w:bCs/>
          <w:sz w:val="24"/>
        </w:rPr>
        <w:t>Sankce</w:t>
      </w:r>
    </w:p>
    <w:p w14:paraId="6D04B8FD" w14:textId="77777777" w:rsidR="009D2B69" w:rsidRDefault="009D2B69">
      <w:pPr>
        <w:tabs>
          <w:tab w:val="num" w:pos="284"/>
        </w:tabs>
        <w:spacing w:after="120"/>
        <w:jc w:val="both"/>
        <w:rPr>
          <w:szCs w:val="24"/>
        </w:rPr>
      </w:pPr>
    </w:p>
    <w:p w14:paraId="6939C5DB" w14:textId="0080A158" w:rsidR="009D2B69" w:rsidRPr="0034355A" w:rsidRDefault="0086129A"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druhé</w:t>
      </w:r>
      <w:r w:rsidRPr="0034355A">
        <w:rPr>
          <w:sz w:val="24"/>
          <w:szCs w:val="24"/>
        </w:rPr>
        <w:t xml:space="preserve"> smluvní stran</w:t>
      </w:r>
      <w:r>
        <w:rPr>
          <w:sz w:val="24"/>
          <w:szCs w:val="24"/>
        </w:rPr>
        <w:t>y</w:t>
      </w:r>
      <w:r w:rsidR="009D2B69" w:rsidRPr="0034355A">
        <w:rPr>
          <w:sz w:val="24"/>
          <w:szCs w:val="24"/>
        </w:rPr>
        <w:t xml:space="preserve">, je povinna zaplatit druhé smluvní straně jednorázovou smluvní pokutu ve výši </w:t>
      </w:r>
      <w:proofErr w:type="gramStart"/>
      <w:r w:rsidR="009D2B69" w:rsidRPr="0034355A">
        <w:rPr>
          <w:sz w:val="24"/>
          <w:szCs w:val="24"/>
        </w:rPr>
        <w:t>10.000,-</w:t>
      </w:r>
      <w:proofErr w:type="gramEnd"/>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AF438A">
        <w:rPr>
          <w:sz w:val="24"/>
          <w:szCs w:val="24"/>
        </w:rPr>
        <w:t>druhé</w:t>
      </w:r>
      <w:r w:rsidR="00283B49" w:rsidRPr="00AA5F5C">
        <w:rPr>
          <w:sz w:val="24"/>
          <w:szCs w:val="24"/>
        </w:rPr>
        <w:t xml:space="preserve"> smluvní straně smluvní pokutu ve výši</w:t>
      </w:r>
      <w:r w:rsidR="00283B49">
        <w:rPr>
          <w:sz w:val="24"/>
          <w:szCs w:val="24"/>
        </w:rPr>
        <w:t xml:space="preserve"> </w:t>
      </w:r>
      <w:proofErr w:type="gramStart"/>
      <w:r w:rsidR="00283B49">
        <w:rPr>
          <w:sz w:val="24"/>
          <w:szCs w:val="24"/>
        </w:rPr>
        <w:t>50.000,-</w:t>
      </w:r>
      <w:proofErr w:type="gramEnd"/>
      <w:r w:rsidR="00283B49">
        <w:rPr>
          <w:sz w:val="24"/>
          <w:szCs w:val="24"/>
        </w:rPr>
        <w:t xml:space="preserve"> Kč.</w:t>
      </w:r>
      <w:r w:rsidR="00283B49" w:rsidRPr="0034355A">
        <w:rPr>
          <w:sz w:val="24"/>
          <w:szCs w:val="24"/>
        </w:rPr>
        <w:t xml:space="preserve"> </w:t>
      </w:r>
      <w:r w:rsidR="009D2B69" w:rsidRPr="0034355A">
        <w:rPr>
          <w:sz w:val="24"/>
          <w:szCs w:val="24"/>
        </w:rPr>
        <w:t xml:space="preserve">Zaplacením smluvní pokuty nezaniká právo poškozené strany na náhradu škody, a to v plné výši. </w:t>
      </w:r>
    </w:p>
    <w:p w14:paraId="68685DD0" w14:textId="77777777" w:rsidR="00744F3A" w:rsidRDefault="00744F3A" w:rsidP="00D26A98">
      <w:pPr>
        <w:jc w:val="both"/>
        <w:rPr>
          <w:b/>
        </w:rPr>
      </w:pPr>
    </w:p>
    <w:p w14:paraId="06E3ED0D" w14:textId="77777777"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625677FA" w:rsidR="008A2111" w:rsidRDefault="00047C84" w:rsidP="008A2111">
      <w:pPr>
        <w:pStyle w:val="Odstavecseseznamem"/>
        <w:numPr>
          <w:ilvl w:val="0"/>
          <w:numId w:val="20"/>
        </w:numPr>
        <w:ind w:hanging="720"/>
        <w:jc w:val="both"/>
        <w:rPr>
          <w:sz w:val="24"/>
          <w:szCs w:val="24"/>
        </w:rPr>
      </w:pPr>
      <w:proofErr w:type="gramStart"/>
      <w:r w:rsidRPr="00DE4FA0">
        <w:rPr>
          <w:b/>
          <w:sz w:val="24"/>
          <w:szCs w:val="24"/>
        </w:rPr>
        <w:t>Příjemce</w:t>
      </w:r>
      <w:r w:rsidR="00645E93" w:rsidRPr="00DE4FA0">
        <w:rPr>
          <w:b/>
          <w:sz w:val="24"/>
          <w:szCs w:val="24"/>
        </w:rPr>
        <w:t> </w:t>
      </w:r>
      <w:r w:rsidR="00645E93" w:rsidRPr="008A2111">
        <w:rPr>
          <w:sz w:val="24"/>
          <w:szCs w:val="24"/>
        </w:rPr>
        <w:t xml:space="preserve"> </w:t>
      </w:r>
      <w:r w:rsidR="00AF438A">
        <w:rPr>
          <w:sz w:val="24"/>
          <w:szCs w:val="24"/>
        </w:rPr>
        <w:t>bere</w:t>
      </w:r>
      <w:proofErr w:type="gramEnd"/>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 </w:t>
      </w:r>
      <w:r w:rsidRPr="00DE4FA0">
        <w:rPr>
          <w:b/>
          <w:sz w:val="24"/>
          <w:szCs w:val="24"/>
        </w:rPr>
        <w:t>Příjemce</w:t>
      </w:r>
      <w:r w:rsidR="00AF438A" w:rsidRPr="00DE4FA0">
        <w:rPr>
          <w:b/>
          <w:sz w:val="24"/>
          <w:szCs w:val="24"/>
        </w:rPr>
        <w:t xml:space="preserve"> </w:t>
      </w:r>
      <w:r w:rsidR="00AF438A">
        <w:rPr>
          <w:sz w:val="24"/>
          <w:szCs w:val="24"/>
        </w:rPr>
        <w:t xml:space="preserve">povinen předat </w:t>
      </w:r>
      <w:r w:rsidR="008D363A">
        <w:rPr>
          <w:sz w:val="24"/>
          <w:szCs w:val="24"/>
        </w:rPr>
        <w:t>ZČU</w:t>
      </w:r>
      <w:r w:rsidR="00AF438A">
        <w:rPr>
          <w:sz w:val="24"/>
          <w:szCs w:val="24"/>
        </w:rPr>
        <w:t xml:space="preserve"> tuto smlouvu nejpozději do 5 dnů od jejího uzavření, </w:t>
      </w:r>
      <w:r w:rsidR="003E29C2">
        <w:rPr>
          <w:sz w:val="24"/>
          <w:szCs w:val="24"/>
        </w:rPr>
        <w:t>je</w:t>
      </w:r>
      <w:r w:rsidR="00AF438A">
        <w:rPr>
          <w:sz w:val="24"/>
          <w:szCs w:val="24"/>
        </w:rPr>
        <w:t>-li poslední stanou podepisující tuto smlouvu</w:t>
      </w:r>
      <w:r w:rsidR="00645E93" w:rsidRPr="008A2111">
        <w:rPr>
          <w:sz w:val="24"/>
          <w:szCs w:val="24"/>
        </w:rPr>
        <w:t>.</w:t>
      </w:r>
      <w:r w:rsidR="003E29C2" w:rsidRPr="003E29C2">
        <w:rPr>
          <w:sz w:val="24"/>
          <w:szCs w:val="24"/>
        </w:rPr>
        <w:t xml:space="preserve"> </w:t>
      </w:r>
      <w:r w:rsidR="003E29C2">
        <w:rPr>
          <w:sz w:val="24"/>
          <w:szCs w:val="24"/>
        </w:rPr>
        <w:t>Neuveřejní-li ZČU tuto smlouvu ve lhůtě do 30 dnů od jejího uzavření, zavazuje se smlouvu uveřejnit druhá smluvní strana.</w:t>
      </w:r>
    </w:p>
    <w:p w14:paraId="5D642B13" w14:textId="77777777" w:rsidR="009B434C" w:rsidRPr="008A2111" w:rsidRDefault="009B434C" w:rsidP="009B434C">
      <w:pPr>
        <w:pStyle w:val="Odstavecseseznamem"/>
        <w:jc w:val="both"/>
        <w:rPr>
          <w:sz w:val="24"/>
          <w:szCs w:val="24"/>
        </w:rPr>
      </w:pPr>
    </w:p>
    <w:p w14:paraId="27B91773"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02C566E1" w14:textId="77777777" w:rsidR="002B2D50" w:rsidRPr="002B2D50" w:rsidRDefault="002B2D50" w:rsidP="002B2D50">
      <w:pPr>
        <w:pStyle w:val="Odstavecseseznamem"/>
        <w:jc w:val="both"/>
        <w:rPr>
          <w:sz w:val="24"/>
          <w:szCs w:val="24"/>
        </w:rPr>
      </w:pPr>
    </w:p>
    <w:p w14:paraId="6A087FE1" w14:textId="00AF9E98"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w:t>
      </w:r>
      <w:proofErr w:type="gramStart"/>
      <w:r w:rsidR="00283B49">
        <w:rPr>
          <w:sz w:val="24"/>
          <w:szCs w:val="24"/>
        </w:rPr>
        <w:t xml:space="preserve">to </w:t>
      </w:r>
      <w:r w:rsidR="00283B49" w:rsidRPr="002B2D50">
        <w:rPr>
          <w:sz w:val="24"/>
          <w:szCs w:val="24"/>
        </w:rPr>
        <w:t xml:space="preserve"> </w:t>
      </w:r>
      <w:r w:rsidR="00B14835">
        <w:rPr>
          <w:sz w:val="24"/>
          <w:szCs w:val="24"/>
        </w:rPr>
        <w:t>31.</w:t>
      </w:r>
      <w:proofErr w:type="gramEnd"/>
      <w:r w:rsidR="00B14835">
        <w:rPr>
          <w:sz w:val="24"/>
          <w:szCs w:val="24"/>
        </w:rPr>
        <w:t xml:space="preserve"> 12. 2026.</w:t>
      </w:r>
    </w:p>
    <w:p w14:paraId="631ED925" w14:textId="77777777" w:rsidR="002B2D50" w:rsidRPr="002B2D50" w:rsidRDefault="002B2D50" w:rsidP="002B2D50">
      <w:pPr>
        <w:jc w:val="both"/>
        <w:rPr>
          <w:sz w:val="24"/>
          <w:szCs w:val="24"/>
        </w:rPr>
      </w:pPr>
    </w:p>
    <w:p w14:paraId="317D3B55"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2B2D50" w:rsidRDefault="002B2D50" w:rsidP="002B2D50">
      <w:pPr>
        <w:pStyle w:val="Odstavecseseznamem"/>
        <w:rPr>
          <w:sz w:val="24"/>
          <w:szCs w:val="24"/>
        </w:rPr>
      </w:pPr>
    </w:p>
    <w:p w14:paraId="10C041E1"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3AAC01D9" w14:textId="77777777" w:rsidR="002B2D50" w:rsidRPr="002B2D50" w:rsidRDefault="002B2D50" w:rsidP="002B2D50">
      <w:pPr>
        <w:pStyle w:val="Odstavecseseznamem"/>
        <w:rPr>
          <w:sz w:val="24"/>
          <w:szCs w:val="24"/>
        </w:rPr>
      </w:pPr>
    </w:p>
    <w:p w14:paraId="73CFA2A4"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2B2D50" w:rsidRDefault="002B2D50" w:rsidP="002B2D50">
      <w:pPr>
        <w:jc w:val="both"/>
        <w:rPr>
          <w:sz w:val="24"/>
          <w:szCs w:val="24"/>
        </w:rPr>
      </w:pPr>
    </w:p>
    <w:p w14:paraId="22F2BB7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proofErr w:type="gramStart"/>
      <w:r w:rsidRPr="002B2D50">
        <w:rPr>
          <w:sz w:val="24"/>
          <w:szCs w:val="24"/>
        </w:rPr>
        <w:t>se</w:t>
      </w:r>
      <w:proofErr w:type="gramEnd"/>
      <w:r w:rsidRPr="002B2D50">
        <w:rPr>
          <w:sz w:val="24"/>
          <w:szCs w:val="24"/>
        </w:rPr>
        <w:t xml:space="preserv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550DA24F" w14:textId="77777777" w:rsidR="002B2D50" w:rsidRPr="002B2D50" w:rsidRDefault="002B2D50" w:rsidP="002B2D50">
      <w:pPr>
        <w:jc w:val="both"/>
        <w:rPr>
          <w:sz w:val="24"/>
          <w:szCs w:val="24"/>
        </w:rPr>
      </w:pPr>
    </w:p>
    <w:p w14:paraId="07189CC0" w14:textId="77777777"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FA1D8C">
        <w:rPr>
          <w:sz w:val="24"/>
          <w:szCs w:val="24"/>
        </w:rPr>
        <w:t>třech</w:t>
      </w:r>
      <w:r w:rsidR="00741E56" w:rsidRPr="002B2D50">
        <w:rPr>
          <w:sz w:val="24"/>
          <w:szCs w:val="24"/>
        </w:rPr>
        <w:t xml:space="preserve"> </w:t>
      </w:r>
      <w:r w:rsidRPr="002B2D50">
        <w:rPr>
          <w:sz w:val="24"/>
          <w:szCs w:val="24"/>
        </w:rPr>
        <w:t xml:space="preserve">vyhotoveních, z nichž každá ze smluvních stran obdrží po jednom vyhotovení a jedno vyhotovení je příjemce povinen předložit poskytovateli dotace. </w:t>
      </w:r>
    </w:p>
    <w:p w14:paraId="56422261" w14:textId="77777777" w:rsidR="009D2B69" w:rsidRDefault="009D2B69">
      <w:pPr>
        <w:jc w:val="both"/>
      </w:pPr>
    </w:p>
    <w:p w14:paraId="422DB8A8" w14:textId="77777777" w:rsidR="00744F3A" w:rsidRDefault="00744F3A">
      <w:pPr>
        <w:jc w:val="both"/>
      </w:pPr>
    </w:p>
    <w:p w14:paraId="6F11E191" w14:textId="77777777" w:rsidR="00FA1D8C" w:rsidRDefault="00FA1D8C">
      <w:pPr>
        <w:jc w:val="both"/>
      </w:pPr>
    </w:p>
    <w:p w14:paraId="1C075E08" w14:textId="77777777" w:rsidR="00FA1D8C" w:rsidRDefault="00FA1D8C">
      <w:pPr>
        <w:jc w:val="both"/>
      </w:pPr>
    </w:p>
    <w:p w14:paraId="61AF112D" w14:textId="77777777"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r w:rsidR="008A2111">
        <w:t>V ………………. dne ………</w:t>
      </w:r>
    </w:p>
    <w:p w14:paraId="1432D500" w14:textId="77777777" w:rsidR="00FA1D8C" w:rsidRDefault="00FA1D8C" w:rsidP="00981A5E">
      <w:pPr>
        <w:pStyle w:val="Zkladntext"/>
      </w:pPr>
    </w:p>
    <w:p w14:paraId="7D2218D1" w14:textId="77777777" w:rsidR="009D2B69" w:rsidRDefault="009D2B69">
      <w:pPr>
        <w:pStyle w:val="Zkladntext"/>
      </w:pPr>
    </w:p>
    <w:p w14:paraId="0D6998FB" w14:textId="77777777" w:rsidR="00C11AAD" w:rsidRDefault="009D2B69">
      <w:pPr>
        <w:pStyle w:val="Zkladntext"/>
      </w:pPr>
      <w:r>
        <w:t xml:space="preserve">Za </w:t>
      </w:r>
      <w:r w:rsidR="00554CD1">
        <w:t>Západočeskou univerzitu v Plzni</w:t>
      </w:r>
      <w:r>
        <w:tab/>
      </w:r>
      <w:r>
        <w:tab/>
      </w:r>
      <w:r>
        <w:tab/>
      </w:r>
      <w:r w:rsidR="00F670D1">
        <w:t xml:space="preserve">Za </w:t>
      </w:r>
      <w:proofErr w:type="spellStart"/>
      <w:r w:rsidR="00C11AAD">
        <w:t>Technofiber</w:t>
      </w:r>
      <w:proofErr w:type="spellEnd"/>
      <w:r w:rsidR="00C11AAD">
        <w:t>, s. r. o.</w:t>
      </w:r>
    </w:p>
    <w:p w14:paraId="201F167E" w14:textId="4DA90EEA" w:rsidR="009D2B69" w:rsidRDefault="009D2B69">
      <w:pPr>
        <w:pStyle w:val="Zkladntext"/>
      </w:pP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2A2283FC" w14:textId="70C6B343" w:rsidR="00DE4FA0" w:rsidRDefault="001A3F1E" w:rsidP="00981A5E">
      <w:pPr>
        <w:pStyle w:val="Zkladntext"/>
      </w:pPr>
      <w:r>
        <w:t>x</w:t>
      </w:r>
      <w:r w:rsidR="009D2B69">
        <w:tab/>
      </w:r>
      <w:r w:rsidR="009D2B69">
        <w:tab/>
      </w:r>
      <w:r>
        <w:tab/>
      </w:r>
      <w:r>
        <w:tab/>
      </w:r>
      <w:r>
        <w:tab/>
      </w:r>
      <w:r>
        <w:tab/>
      </w:r>
      <w:r>
        <w:tab/>
      </w:r>
      <w:r w:rsidR="009D2B69">
        <w:tab/>
      </w:r>
      <w:proofErr w:type="spellStart"/>
      <w:r>
        <w:t>x</w:t>
      </w:r>
      <w:proofErr w:type="spellEnd"/>
      <w:r w:rsidR="00DE4FA0">
        <w:t>, jednatel</w:t>
      </w:r>
    </w:p>
    <w:p w14:paraId="0909AA87" w14:textId="092E31B1" w:rsidR="00554CD1" w:rsidRDefault="009D2B69" w:rsidP="00981A5E">
      <w:pPr>
        <w:pStyle w:val="Zkladntext"/>
      </w:pPr>
      <w:r>
        <w:tab/>
      </w:r>
    </w:p>
    <w:p w14:paraId="6A9AAEF4" w14:textId="6C63EA95" w:rsidR="00F670D1" w:rsidRDefault="00554CD1" w:rsidP="00B5372A">
      <w:pPr>
        <w:pStyle w:val="Zkladntext"/>
      </w:pPr>
      <w:r>
        <w:t>prorektor pro výzkum a vývoj</w:t>
      </w:r>
      <w:r>
        <w:tab/>
      </w:r>
      <w:r>
        <w:tab/>
      </w:r>
      <w:r>
        <w:tab/>
        <w:t>…………………………………</w:t>
      </w:r>
      <w:proofErr w:type="gramStart"/>
      <w:r>
        <w:t>…….</w:t>
      </w:r>
      <w:proofErr w:type="gramEnd"/>
      <w:r>
        <w:t>.</w:t>
      </w:r>
      <w:r w:rsidR="009D2B69">
        <w:tab/>
      </w:r>
      <w:r w:rsidR="009D2B69">
        <w:tab/>
      </w:r>
      <w:r w:rsidR="009D2B69">
        <w:tab/>
      </w:r>
    </w:p>
    <w:p w14:paraId="4B36A56D" w14:textId="77777777" w:rsidR="0014671A" w:rsidRPr="0014671A" w:rsidRDefault="0014671A" w:rsidP="0014671A">
      <w:pPr>
        <w:pStyle w:val="Zkladntext"/>
      </w:pPr>
    </w:p>
    <w:sectPr w:rsidR="0014671A" w:rsidRPr="0014671A" w:rsidSect="00DA7279">
      <w:headerReference w:type="default" r:id="rId10"/>
      <w:footerReference w:type="default" r:id="rId11"/>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53B5" w14:textId="77777777" w:rsidR="0063322F" w:rsidRDefault="0063322F">
      <w:r>
        <w:separator/>
      </w:r>
    </w:p>
  </w:endnote>
  <w:endnote w:type="continuationSeparator" w:id="0">
    <w:p w14:paraId="51903F27" w14:textId="77777777" w:rsidR="0063322F" w:rsidRDefault="0063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02ED72B1" w:rsidR="009D2B69" w:rsidRDefault="009D2B69">
    <w:pPr>
      <w:pStyle w:val="Zpat"/>
    </w:pPr>
    <w:r>
      <w:tab/>
      <w:t xml:space="preserve">- </w:t>
    </w:r>
    <w:r w:rsidR="007139B6">
      <w:fldChar w:fldCharType="begin"/>
    </w:r>
    <w:r w:rsidR="00EF32AA">
      <w:instrText xml:space="preserve"> PAGE </w:instrText>
    </w:r>
    <w:r w:rsidR="007139B6">
      <w:fldChar w:fldCharType="separate"/>
    </w:r>
    <w:r w:rsidR="001A3F1E">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D281" w14:textId="77777777" w:rsidR="0063322F" w:rsidRDefault="0063322F">
      <w:r>
        <w:separator/>
      </w:r>
    </w:p>
  </w:footnote>
  <w:footnote w:type="continuationSeparator" w:id="0">
    <w:p w14:paraId="7492124E" w14:textId="77777777" w:rsidR="0063322F" w:rsidRDefault="0063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E37164"/>
    <w:multiLevelType w:val="hybridMultilevel"/>
    <w:tmpl w:val="9AF2D8A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0"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7A124E"/>
    <w:multiLevelType w:val="hybridMultilevel"/>
    <w:tmpl w:val="1BCA5F8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1"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8"/>
  </w:num>
  <w:num w:numId="2">
    <w:abstractNumId w:val="2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32"/>
  </w:num>
  <w:num w:numId="9">
    <w:abstractNumId w:val="16"/>
  </w:num>
  <w:num w:numId="10">
    <w:abstractNumId w:val="33"/>
  </w:num>
  <w:num w:numId="11">
    <w:abstractNumId w:val="25"/>
  </w:num>
  <w:num w:numId="12">
    <w:abstractNumId w:val="0"/>
  </w:num>
  <w:num w:numId="13">
    <w:abstractNumId w:val="3"/>
  </w:num>
  <w:num w:numId="14">
    <w:abstractNumId w:val="5"/>
  </w:num>
  <w:num w:numId="15">
    <w:abstractNumId w:val="11"/>
  </w:num>
  <w:num w:numId="16">
    <w:abstractNumId w:val="10"/>
  </w:num>
  <w:num w:numId="17">
    <w:abstractNumId w:val="19"/>
  </w:num>
  <w:num w:numId="18">
    <w:abstractNumId w:val="22"/>
  </w:num>
  <w:num w:numId="19">
    <w:abstractNumId w:val="1"/>
  </w:num>
  <w:num w:numId="20">
    <w:abstractNumId w:val="26"/>
  </w:num>
  <w:num w:numId="21">
    <w:abstractNumId w:val="15"/>
  </w:num>
  <w:num w:numId="22">
    <w:abstractNumId w:val="17"/>
  </w:num>
  <w:num w:numId="23">
    <w:abstractNumId w:val="6"/>
  </w:num>
  <w:num w:numId="24">
    <w:abstractNumId w:val="31"/>
  </w:num>
  <w:num w:numId="25">
    <w:abstractNumId w:val="12"/>
  </w:num>
  <w:num w:numId="26">
    <w:abstractNumId w:val="29"/>
  </w:num>
  <w:num w:numId="27">
    <w:abstractNumId w:val="4"/>
  </w:num>
  <w:num w:numId="28">
    <w:abstractNumId w:val="8"/>
  </w:num>
  <w:num w:numId="29">
    <w:abstractNumId w:val="14"/>
  </w:num>
  <w:num w:numId="30">
    <w:abstractNumId w:val="28"/>
  </w:num>
  <w:num w:numId="31">
    <w:abstractNumId w:val="7"/>
  </w:num>
  <w:num w:numId="32">
    <w:abstractNumId w:val="24"/>
  </w:num>
  <w:num w:numId="33">
    <w:abstractNumId w:val="2"/>
  </w:num>
  <w:num w:numId="34">
    <w:abstractNumId w:val="2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tDQzMzQ2NTIxNDFQ0lEKTi0uzszPAykwqwUA5l83mywAAAA="/>
  </w:docVars>
  <w:rsids>
    <w:rsidRoot w:val="00500460"/>
    <w:rsid w:val="000006FB"/>
    <w:rsid w:val="00002C1D"/>
    <w:rsid w:val="00011C0B"/>
    <w:rsid w:val="00015B69"/>
    <w:rsid w:val="000370A8"/>
    <w:rsid w:val="0004573D"/>
    <w:rsid w:val="00047C84"/>
    <w:rsid w:val="00047F28"/>
    <w:rsid w:val="00072696"/>
    <w:rsid w:val="000754AD"/>
    <w:rsid w:val="000B0270"/>
    <w:rsid w:val="000B26A8"/>
    <w:rsid w:val="000E2A5E"/>
    <w:rsid w:val="000E6AA1"/>
    <w:rsid w:val="000F386B"/>
    <w:rsid w:val="000F44F0"/>
    <w:rsid w:val="00116556"/>
    <w:rsid w:val="00121FF9"/>
    <w:rsid w:val="001233C9"/>
    <w:rsid w:val="0014407B"/>
    <w:rsid w:val="00144C3C"/>
    <w:rsid w:val="0014671A"/>
    <w:rsid w:val="00156BB1"/>
    <w:rsid w:val="001729B4"/>
    <w:rsid w:val="00187672"/>
    <w:rsid w:val="001924F7"/>
    <w:rsid w:val="00197C66"/>
    <w:rsid w:val="001A0F53"/>
    <w:rsid w:val="001A2C55"/>
    <w:rsid w:val="001A3F1E"/>
    <w:rsid w:val="001B1550"/>
    <w:rsid w:val="001D025D"/>
    <w:rsid w:val="001D15C1"/>
    <w:rsid w:val="001D3AB0"/>
    <w:rsid w:val="001D4799"/>
    <w:rsid w:val="001E55B9"/>
    <w:rsid w:val="001E66F4"/>
    <w:rsid w:val="001F6D41"/>
    <w:rsid w:val="0021775F"/>
    <w:rsid w:val="00220125"/>
    <w:rsid w:val="00221B12"/>
    <w:rsid w:val="00226DC6"/>
    <w:rsid w:val="00251D7B"/>
    <w:rsid w:val="00262623"/>
    <w:rsid w:val="00283B49"/>
    <w:rsid w:val="00294350"/>
    <w:rsid w:val="002A5568"/>
    <w:rsid w:val="002A66D8"/>
    <w:rsid w:val="002B2D50"/>
    <w:rsid w:val="002B3734"/>
    <w:rsid w:val="002C2140"/>
    <w:rsid w:val="002C606C"/>
    <w:rsid w:val="002D18F3"/>
    <w:rsid w:val="002D498B"/>
    <w:rsid w:val="002D72BB"/>
    <w:rsid w:val="002F39A5"/>
    <w:rsid w:val="0031259E"/>
    <w:rsid w:val="003209CA"/>
    <w:rsid w:val="00327235"/>
    <w:rsid w:val="003327E5"/>
    <w:rsid w:val="003336BE"/>
    <w:rsid w:val="003367C7"/>
    <w:rsid w:val="003432FD"/>
    <w:rsid w:val="0034355A"/>
    <w:rsid w:val="003477A1"/>
    <w:rsid w:val="003510B1"/>
    <w:rsid w:val="00361744"/>
    <w:rsid w:val="00361F86"/>
    <w:rsid w:val="00363F12"/>
    <w:rsid w:val="00386C09"/>
    <w:rsid w:val="003A33FB"/>
    <w:rsid w:val="003A391E"/>
    <w:rsid w:val="003A4812"/>
    <w:rsid w:val="003C7A6B"/>
    <w:rsid w:val="003D0594"/>
    <w:rsid w:val="003E29C2"/>
    <w:rsid w:val="003E5B2C"/>
    <w:rsid w:val="003F11FD"/>
    <w:rsid w:val="0043195C"/>
    <w:rsid w:val="00447DD6"/>
    <w:rsid w:val="004645ED"/>
    <w:rsid w:val="00465B51"/>
    <w:rsid w:val="00475569"/>
    <w:rsid w:val="0048436B"/>
    <w:rsid w:val="004851ED"/>
    <w:rsid w:val="00496538"/>
    <w:rsid w:val="00497D50"/>
    <w:rsid w:val="004A783F"/>
    <w:rsid w:val="004B4BFE"/>
    <w:rsid w:val="004C050D"/>
    <w:rsid w:val="004E6921"/>
    <w:rsid w:val="004E6FCE"/>
    <w:rsid w:val="00500460"/>
    <w:rsid w:val="00506211"/>
    <w:rsid w:val="00516F75"/>
    <w:rsid w:val="0053474E"/>
    <w:rsid w:val="00554CD1"/>
    <w:rsid w:val="005558AB"/>
    <w:rsid w:val="00566C7A"/>
    <w:rsid w:val="00581B4B"/>
    <w:rsid w:val="00581E6B"/>
    <w:rsid w:val="005915C2"/>
    <w:rsid w:val="005A4F5F"/>
    <w:rsid w:val="005A615B"/>
    <w:rsid w:val="005B38C3"/>
    <w:rsid w:val="005C1D1D"/>
    <w:rsid w:val="005D5235"/>
    <w:rsid w:val="005E7503"/>
    <w:rsid w:val="005E7642"/>
    <w:rsid w:val="00620F49"/>
    <w:rsid w:val="00621250"/>
    <w:rsid w:val="00625B0F"/>
    <w:rsid w:val="006324CA"/>
    <w:rsid w:val="0063322F"/>
    <w:rsid w:val="006344BA"/>
    <w:rsid w:val="00635D46"/>
    <w:rsid w:val="0063628D"/>
    <w:rsid w:val="006437B5"/>
    <w:rsid w:val="00645E93"/>
    <w:rsid w:val="006474CC"/>
    <w:rsid w:val="00650D35"/>
    <w:rsid w:val="0065282D"/>
    <w:rsid w:val="00655A1E"/>
    <w:rsid w:val="00655FB3"/>
    <w:rsid w:val="00661D68"/>
    <w:rsid w:val="00672645"/>
    <w:rsid w:val="0068366E"/>
    <w:rsid w:val="006922EA"/>
    <w:rsid w:val="006938E8"/>
    <w:rsid w:val="00694146"/>
    <w:rsid w:val="006C49EB"/>
    <w:rsid w:val="006D0A09"/>
    <w:rsid w:val="006D482F"/>
    <w:rsid w:val="006E26E3"/>
    <w:rsid w:val="0070173D"/>
    <w:rsid w:val="0071039D"/>
    <w:rsid w:val="007139B6"/>
    <w:rsid w:val="00714548"/>
    <w:rsid w:val="00722287"/>
    <w:rsid w:val="00724DFC"/>
    <w:rsid w:val="00736DEF"/>
    <w:rsid w:val="00741E56"/>
    <w:rsid w:val="00744F3A"/>
    <w:rsid w:val="0075732C"/>
    <w:rsid w:val="0078252D"/>
    <w:rsid w:val="007A7C5E"/>
    <w:rsid w:val="007B1025"/>
    <w:rsid w:val="007D368F"/>
    <w:rsid w:val="007E0858"/>
    <w:rsid w:val="007E6A6C"/>
    <w:rsid w:val="008043A9"/>
    <w:rsid w:val="00805334"/>
    <w:rsid w:val="008149E3"/>
    <w:rsid w:val="00820B34"/>
    <w:rsid w:val="008259DF"/>
    <w:rsid w:val="0083570F"/>
    <w:rsid w:val="00836209"/>
    <w:rsid w:val="00851E4A"/>
    <w:rsid w:val="0086129A"/>
    <w:rsid w:val="008656C3"/>
    <w:rsid w:val="00871C3B"/>
    <w:rsid w:val="008A2111"/>
    <w:rsid w:val="008B28E1"/>
    <w:rsid w:val="008C1C5F"/>
    <w:rsid w:val="008D1F26"/>
    <w:rsid w:val="008D363A"/>
    <w:rsid w:val="008E01C9"/>
    <w:rsid w:val="008F0E1C"/>
    <w:rsid w:val="00904625"/>
    <w:rsid w:val="00922E54"/>
    <w:rsid w:val="00926EB5"/>
    <w:rsid w:val="00927411"/>
    <w:rsid w:val="00930A94"/>
    <w:rsid w:val="00940287"/>
    <w:rsid w:val="00946BAA"/>
    <w:rsid w:val="00954A21"/>
    <w:rsid w:val="0096488D"/>
    <w:rsid w:val="00981A5E"/>
    <w:rsid w:val="0099272E"/>
    <w:rsid w:val="009B37D6"/>
    <w:rsid w:val="009B434C"/>
    <w:rsid w:val="009B749F"/>
    <w:rsid w:val="009C61DA"/>
    <w:rsid w:val="009D2B69"/>
    <w:rsid w:val="009D3921"/>
    <w:rsid w:val="009E7754"/>
    <w:rsid w:val="009F2A90"/>
    <w:rsid w:val="009F5595"/>
    <w:rsid w:val="00A0028E"/>
    <w:rsid w:val="00A213ED"/>
    <w:rsid w:val="00A22B2A"/>
    <w:rsid w:val="00A23B93"/>
    <w:rsid w:val="00A5390B"/>
    <w:rsid w:val="00A53A9D"/>
    <w:rsid w:val="00A80865"/>
    <w:rsid w:val="00A80E49"/>
    <w:rsid w:val="00A84BB0"/>
    <w:rsid w:val="00AA4AE7"/>
    <w:rsid w:val="00AB061E"/>
    <w:rsid w:val="00AB29FD"/>
    <w:rsid w:val="00AC3086"/>
    <w:rsid w:val="00AC6D81"/>
    <w:rsid w:val="00AE559E"/>
    <w:rsid w:val="00AF438A"/>
    <w:rsid w:val="00AF4D96"/>
    <w:rsid w:val="00AF51BB"/>
    <w:rsid w:val="00B01C94"/>
    <w:rsid w:val="00B04A12"/>
    <w:rsid w:val="00B05A53"/>
    <w:rsid w:val="00B14835"/>
    <w:rsid w:val="00B15A26"/>
    <w:rsid w:val="00B23BE8"/>
    <w:rsid w:val="00B31C51"/>
    <w:rsid w:val="00B47705"/>
    <w:rsid w:val="00B5372A"/>
    <w:rsid w:val="00B67676"/>
    <w:rsid w:val="00B7496D"/>
    <w:rsid w:val="00B910F7"/>
    <w:rsid w:val="00B963C7"/>
    <w:rsid w:val="00BB1A5C"/>
    <w:rsid w:val="00BC7033"/>
    <w:rsid w:val="00C0743F"/>
    <w:rsid w:val="00C11AAD"/>
    <w:rsid w:val="00C14D08"/>
    <w:rsid w:val="00C16BDB"/>
    <w:rsid w:val="00C2376D"/>
    <w:rsid w:val="00C26D33"/>
    <w:rsid w:val="00C337E1"/>
    <w:rsid w:val="00C37137"/>
    <w:rsid w:val="00C40BC1"/>
    <w:rsid w:val="00C42387"/>
    <w:rsid w:val="00C435E8"/>
    <w:rsid w:val="00C44E76"/>
    <w:rsid w:val="00C540B5"/>
    <w:rsid w:val="00C56D47"/>
    <w:rsid w:val="00C71FBD"/>
    <w:rsid w:val="00C73210"/>
    <w:rsid w:val="00C80298"/>
    <w:rsid w:val="00C846C5"/>
    <w:rsid w:val="00C9008F"/>
    <w:rsid w:val="00C94127"/>
    <w:rsid w:val="00CA7E2B"/>
    <w:rsid w:val="00CB05A6"/>
    <w:rsid w:val="00CC79C6"/>
    <w:rsid w:val="00CD4927"/>
    <w:rsid w:val="00CE0AE5"/>
    <w:rsid w:val="00CE5423"/>
    <w:rsid w:val="00CF7ADF"/>
    <w:rsid w:val="00D000DB"/>
    <w:rsid w:val="00D0097B"/>
    <w:rsid w:val="00D02515"/>
    <w:rsid w:val="00D11CDE"/>
    <w:rsid w:val="00D11D30"/>
    <w:rsid w:val="00D172D5"/>
    <w:rsid w:val="00D26A98"/>
    <w:rsid w:val="00D53EA0"/>
    <w:rsid w:val="00D6270D"/>
    <w:rsid w:val="00D65B05"/>
    <w:rsid w:val="00D66AF9"/>
    <w:rsid w:val="00D66C88"/>
    <w:rsid w:val="00D679C9"/>
    <w:rsid w:val="00D77D86"/>
    <w:rsid w:val="00D81034"/>
    <w:rsid w:val="00D90D37"/>
    <w:rsid w:val="00D9622C"/>
    <w:rsid w:val="00DA7279"/>
    <w:rsid w:val="00DB10F7"/>
    <w:rsid w:val="00DB4E89"/>
    <w:rsid w:val="00DB74FF"/>
    <w:rsid w:val="00DC02B1"/>
    <w:rsid w:val="00DC526F"/>
    <w:rsid w:val="00DD177A"/>
    <w:rsid w:val="00DE158C"/>
    <w:rsid w:val="00DE4FA0"/>
    <w:rsid w:val="00DE6049"/>
    <w:rsid w:val="00DF0B4A"/>
    <w:rsid w:val="00DF5624"/>
    <w:rsid w:val="00E013FB"/>
    <w:rsid w:val="00E05DE4"/>
    <w:rsid w:val="00E27B86"/>
    <w:rsid w:val="00E60F39"/>
    <w:rsid w:val="00E62EEF"/>
    <w:rsid w:val="00E747E4"/>
    <w:rsid w:val="00E7540F"/>
    <w:rsid w:val="00E929B0"/>
    <w:rsid w:val="00EA423E"/>
    <w:rsid w:val="00EC2678"/>
    <w:rsid w:val="00EC748A"/>
    <w:rsid w:val="00ED0FD2"/>
    <w:rsid w:val="00EF1DB6"/>
    <w:rsid w:val="00EF32AA"/>
    <w:rsid w:val="00EF3883"/>
    <w:rsid w:val="00F01EA9"/>
    <w:rsid w:val="00F028D4"/>
    <w:rsid w:val="00F0634B"/>
    <w:rsid w:val="00F105C3"/>
    <w:rsid w:val="00F132CB"/>
    <w:rsid w:val="00F47207"/>
    <w:rsid w:val="00F670D1"/>
    <w:rsid w:val="00F73633"/>
    <w:rsid w:val="00F84E0F"/>
    <w:rsid w:val="00F86A3C"/>
    <w:rsid w:val="00F97F1C"/>
    <w:rsid w:val="00FA1D8C"/>
    <w:rsid w:val="00FB06AC"/>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789733693">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aserther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11D77-E5CB-4804-B51E-247DFCF9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9751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2021-12-07T12:24:00Z</dcterms:created>
  <dcterms:modified xsi:type="dcterms:W3CDTF">2021-12-07T12:24:00Z</dcterms:modified>
</cp:coreProperties>
</file>