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565410" w:rsidRPr="005D6BEB">
        <w:rPr>
          <w:rFonts w:cstheme="minorHAnsi"/>
          <w:noProof/>
          <w:sz w:val="28"/>
          <w:szCs w:val="28"/>
        </w:rPr>
        <w:t>794</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Polánský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zapsané v obchodním rejstříku vedeném Městským soudem v Praze v oddílu D</w:t>
      </w:r>
      <w:r w:rsidR="006F361B">
        <w:rPr>
          <w:rFonts w:ascii="Calibri" w:hAnsi="Calibri" w:cstheme="minorHAnsi"/>
          <w:sz w:val="20"/>
          <w:szCs w:val="20"/>
          <w:lang w:val="cs-CZ"/>
        </w:rPr>
        <w:t>r</w:t>
      </w:r>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r w:rsidR="00ED3EE3">
        <w:rPr>
          <w:rFonts w:ascii="Calibri" w:hAnsi="Calibri" w:cstheme="minorHAnsi"/>
          <w:sz w:val="20"/>
          <w:szCs w:val="20"/>
          <w:lang w:val="cs-CZ"/>
        </w:rPr>
        <w:t>s</w:t>
      </w:r>
      <w:r>
        <w:rPr>
          <w:rFonts w:ascii="Calibri" w:hAnsi="Calibri" w:cstheme="minorHAnsi"/>
          <w:sz w:val="20"/>
          <w:szCs w:val="20"/>
          <w:lang w:val="cs-CZ"/>
        </w:rPr>
        <w:t>pojení: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Jana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Vaníčková</w:t>
      </w:r>
      <w:r>
        <w:rPr>
          <w:rFonts w:ascii="Calibri" w:hAnsi="Calibri" w:cstheme="minorHAnsi"/>
          <w:sz w:val="20"/>
          <w:szCs w:val="20"/>
          <w:lang w:val="cs-CZ"/>
        </w:rPr>
        <w:fldChar w:fldCharType="end"/>
      </w:r>
    </w:p>
    <w:p w14:paraId="70236ADD" w14:textId="1447A0D7" w:rsidR="00D22173" w:rsidRPr="009F5CD9" w:rsidRDefault="00ED3EE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r w:rsidR="00031E03">
        <w:rPr>
          <w:rFonts w:ascii="Calibri" w:hAnsi="Calibri" w:cstheme="minorHAnsi"/>
          <w:sz w:val="20"/>
          <w:szCs w:val="20"/>
          <w:lang w:val="cs-CZ"/>
        </w:rPr>
        <w:t xml:space="preserve">: </w:t>
      </w:r>
      <w:r w:rsidR="005C2E9F">
        <w:rPr>
          <w:rFonts w:ascii="Calibri" w:hAnsi="Calibri" w:cstheme="minorHAnsi"/>
          <w:sz w:val="20"/>
          <w:szCs w:val="20"/>
          <w:lang w:val="cs-CZ"/>
        </w:rPr>
        <w:t>66</w:t>
      </w:r>
      <w:r w:rsidR="005C2E9F" w:rsidRPr="005C2E9F">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5FBE57E1"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5C2E9F" w:rsidRPr="005C2E9F">
        <w:rPr>
          <w:rFonts w:ascii="Calibri" w:hAnsi="Calibri" w:cstheme="minorHAnsi"/>
          <w:noProof/>
          <w:sz w:val="20"/>
          <w:szCs w:val="20"/>
          <w:highlight w:val="black"/>
          <w:lang w:val="cs-CZ"/>
        </w:rPr>
        <w:t>……………………………</w:t>
      </w:r>
      <w:r w:rsidR="00565410" w:rsidRPr="005D6BEB">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44</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44</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565410" w:rsidRPr="00565410">
        <w:rPr>
          <w:rFonts w:asciiTheme="minorHAnsi" w:hAnsiTheme="minorHAnsi" w:cstheme="minorHAnsi"/>
          <w:noProof/>
          <w:color w:val="auto"/>
          <w:sz w:val="20"/>
          <w:szCs w:val="20"/>
          <w:lang w:val="cs-CZ"/>
        </w:rPr>
        <w:t>44</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565410" w:rsidRPr="00565410">
        <w:rPr>
          <w:rFonts w:asciiTheme="minorHAnsi" w:hAnsiTheme="minorHAnsi" w:cstheme="minorHAnsi"/>
          <w:noProof/>
          <w:color w:val="auto"/>
          <w:sz w:val="20"/>
          <w:szCs w:val="20"/>
          <w:lang w:val="cs-CZ"/>
        </w:rPr>
        <w:t>1+kk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565410" w:rsidRPr="00565410">
        <w:rPr>
          <w:rFonts w:asciiTheme="minorHAnsi" w:hAnsiTheme="minorHAnsi" w:cstheme="minorHAnsi"/>
          <w:noProof/>
          <w:color w:val="auto"/>
          <w:sz w:val="20"/>
          <w:szCs w:val="20"/>
          <w:lang w:val="cs-CZ"/>
        </w:rPr>
        <w:t>v 5.</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565410">
        <w:rPr>
          <w:rFonts w:asciiTheme="minorHAnsi" w:hAnsiTheme="minorHAnsi" w:cstheme="minorHAnsi"/>
          <w:noProof/>
          <w:color w:val="auto"/>
          <w:sz w:val="20"/>
          <w:szCs w:val="20"/>
          <w:lang w:val="cs-CZ"/>
        </w:rPr>
        <w:t>26,80</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565410" w:rsidRPr="005D6BEB">
        <w:rPr>
          <w:rFonts w:ascii="Calibri" w:hAnsi="Calibri" w:cstheme="minorHAnsi"/>
          <w:noProof/>
          <w:w w:val="105"/>
          <w:sz w:val="20"/>
          <w:szCs w:val="20"/>
          <w:lang w:val="cs-CZ"/>
        </w:rPr>
        <w:t>44</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565410" w:rsidRPr="005D6BEB">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65410">
              <w:rPr>
                <w:rFonts w:cstheme="minorHAnsi"/>
                <w:noProof/>
                <w:sz w:val="20"/>
                <w:szCs w:val="20"/>
                <w:lang w:val="cs-CZ"/>
              </w:rPr>
              <w:t>19,05</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565410" w:rsidRPr="005D6BEB">
              <w:rPr>
                <w:rFonts w:ascii="Calibri" w:hAnsi="Calibri" w:cstheme="minorHAnsi"/>
                <w:noProof/>
                <w:w w:val="105"/>
                <w:sz w:val="20"/>
                <w:szCs w:val="20"/>
                <w:lang w:val="cs-CZ"/>
              </w:rPr>
              <w:t>koupelna+WC</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65410">
              <w:rPr>
                <w:rFonts w:cstheme="minorHAnsi"/>
                <w:noProof/>
                <w:sz w:val="20"/>
                <w:szCs w:val="20"/>
                <w:lang w:val="cs-CZ"/>
              </w:rPr>
              <w:t>03,78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565410" w:rsidRPr="005D6BEB">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565410">
              <w:rPr>
                <w:rFonts w:cstheme="minorHAnsi"/>
                <w:noProof/>
                <w:sz w:val="20"/>
                <w:szCs w:val="20"/>
                <w:lang w:val="cs-CZ"/>
              </w:rPr>
              <w:t>02,72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565410" w:rsidRPr="005D6BEB">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65410">
              <w:rPr>
                <w:rFonts w:cstheme="minorHAnsi"/>
                <w:noProof/>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565410" w:rsidRPr="005D6BEB">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565410" w:rsidRPr="005D6BEB">
        <w:rPr>
          <w:rFonts w:cstheme="minorHAnsi"/>
          <w:noProof/>
          <w:sz w:val="20"/>
          <w:szCs w:val="20"/>
          <w:lang w:val="cs-CZ"/>
        </w:rPr>
        <w:t>2680/350446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565410">
        <w:rPr>
          <w:rFonts w:asciiTheme="minorHAnsi" w:hAnsiTheme="minorHAnsi" w:cstheme="minorHAnsi"/>
          <w:noProof/>
          <w:color w:val="auto"/>
          <w:sz w:val="20"/>
          <w:szCs w:val="20"/>
          <w:lang w:val="cs-CZ"/>
        </w:rPr>
        <w:t>26,80</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565410" w:rsidRPr="005D6BEB">
        <w:rPr>
          <w:rFonts w:cstheme="minorHAnsi"/>
          <w:noProof/>
          <w:sz w:val="20"/>
          <w:szCs w:val="20"/>
          <w:lang w:val="cs-CZ"/>
        </w:rPr>
        <w:t>2680/350446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565410" w:rsidRPr="005D6BEB">
        <w:rPr>
          <w:rFonts w:cstheme="minorHAnsi"/>
          <w:noProof/>
          <w:sz w:val="20"/>
          <w:szCs w:val="20"/>
          <w:lang w:val="cs-CZ"/>
        </w:rPr>
        <w:t>44</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Česká republika, IČ 601 97 501 jako soupojistitelem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Pedersen,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r>
        <w:rPr>
          <w:rFonts w:ascii="Calibri" w:hAnsi="Calibri" w:cstheme="minorHAnsi"/>
          <w:sz w:val="20"/>
          <w:szCs w:val="20"/>
          <w:lang w:val="cs-CZ"/>
        </w:rPr>
        <w:t>i</w:t>
      </w:r>
      <w:r w:rsidR="005B2BCC">
        <w:rPr>
          <w:rFonts w:ascii="Calibri" w:hAnsi="Calibri" w:cstheme="minorHAnsi"/>
          <w:sz w:val="20"/>
          <w:szCs w:val="20"/>
          <w:lang w:val="cs-CZ"/>
        </w:rPr>
        <w:t>nnogy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1. SčV, a.s. se sídlem Ke Kablu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565410">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565410">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45B11456"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565410">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565410" w:rsidRPr="00565410">
        <w:rPr>
          <w:rFonts w:ascii="Calibri" w:hAnsi="Calibri" w:cstheme="minorHAnsi"/>
          <w:noProof/>
          <w:color w:val="auto"/>
          <w:sz w:val="20"/>
          <w:szCs w:val="20"/>
          <w:lang w:val="cs-CZ"/>
        </w:rPr>
        <w:t>2</w:t>
      </w:r>
      <w:r w:rsidR="002F3238">
        <w:rPr>
          <w:rFonts w:ascii="Calibri" w:hAnsi="Calibri" w:cstheme="minorHAnsi"/>
          <w:noProof/>
          <w:color w:val="auto"/>
          <w:sz w:val="20"/>
          <w:szCs w:val="20"/>
          <w:lang w:val="cs-CZ"/>
        </w:rPr>
        <w:t>1</w:t>
      </w:r>
      <w:bookmarkStart w:id="3" w:name="_GoBack"/>
      <w:bookmarkEnd w:id="3"/>
      <w:r w:rsidR="00565410" w:rsidRPr="00565410">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Mgr. Adam Polánský</w:t>
            </w:r>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243E4E4C"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5C2E9F">
              <w:rPr>
                <w:rFonts w:ascii="Calibri" w:hAnsi="Calibri" w:cstheme="minorHAnsi"/>
                <w:sz w:val="20"/>
                <w:szCs w:val="20"/>
                <w:lang w:val="cs-CZ"/>
              </w:rPr>
              <w:t xml:space="preserve"> 24.11.2021</w:t>
            </w:r>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054E813F" w:rsidR="00FC569E" w:rsidRPr="001C4717" w:rsidRDefault="00FC569E" w:rsidP="001C4717">
            <w:pPr>
              <w:rPr>
                <w:lang w:val="cs-CZ"/>
              </w:rPr>
            </w:pPr>
            <w:r w:rsidRPr="001C4717">
              <w:rPr>
                <w:lang w:val="cs-CZ"/>
              </w:rPr>
              <w:t>V Říčanech dne:</w:t>
            </w:r>
            <w:r w:rsidR="005C2E9F">
              <w:rPr>
                <w:lang w:val="cs-CZ"/>
              </w:rPr>
              <w:t xml:space="preserve"> 22.11.2021</w:t>
            </w:r>
          </w:p>
        </w:tc>
        <w:tc>
          <w:tcPr>
            <w:tcW w:w="4815" w:type="dxa"/>
          </w:tcPr>
          <w:p w14:paraId="3F6B72C5" w14:textId="2FC0F3E0" w:rsidR="00FC569E" w:rsidRPr="001C4717" w:rsidRDefault="00FC569E" w:rsidP="001C4717">
            <w:pPr>
              <w:rPr>
                <w:lang w:val="cs-CZ"/>
              </w:rPr>
            </w:pPr>
            <w:r w:rsidRPr="001C4717">
              <w:rPr>
                <w:lang w:val="cs-CZ"/>
              </w:rPr>
              <w:t>V Říčanech dne:</w:t>
            </w:r>
            <w:r w:rsidR="005C2E9F">
              <w:rPr>
                <w:lang w:val="cs-CZ"/>
              </w:rPr>
              <w:t xml:space="preserve"> 22.11.2021</w:t>
            </w:r>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1858B5BD" w:rsidR="001C4717" w:rsidRPr="001C4717" w:rsidRDefault="001C4717" w:rsidP="001C4717">
            <w:pPr>
              <w:rPr>
                <w:lang w:val="cs-CZ"/>
              </w:rPr>
            </w:pPr>
            <w:r w:rsidRPr="001C4717">
              <w:rPr>
                <w:lang w:val="cs-CZ"/>
              </w:rPr>
              <w:t>V Říčanech dne:</w:t>
            </w:r>
            <w:r w:rsidR="005C2E9F">
              <w:rPr>
                <w:lang w:val="cs-CZ"/>
              </w:rPr>
              <w:t xml:space="preserve"> 15.11.2021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565410" w:rsidRPr="005D6BEB">
              <w:rPr>
                <w:noProof/>
                <w:lang w:val="cs-CZ"/>
              </w:rPr>
              <w:t>Jana</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565410" w:rsidRPr="005D6BEB">
              <w:rPr>
                <w:noProof/>
                <w:lang w:val="cs-CZ"/>
              </w:rPr>
              <w:t>Vaníčková</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2F3238">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2F3238">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565410">
      <w:rPr>
        <w:noProof/>
        <w:sz w:val="20"/>
        <w:szCs w:val="20"/>
        <w:lang w:val="it-IT"/>
      </w:rPr>
      <w:t>Kupní smlouva - Jírová (byt)</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31"/>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0A75"/>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238"/>
    <w:rsid w:val="002F3460"/>
    <w:rsid w:val="002F6FC5"/>
    <w:rsid w:val="003240EC"/>
    <w:rsid w:val="00350033"/>
    <w:rsid w:val="00350881"/>
    <w:rsid w:val="00357A13"/>
    <w:rsid w:val="00397FA5"/>
    <w:rsid w:val="004252B6"/>
    <w:rsid w:val="00480915"/>
    <w:rsid w:val="004D0FB3"/>
    <w:rsid w:val="00565410"/>
    <w:rsid w:val="005861CC"/>
    <w:rsid w:val="005956B3"/>
    <w:rsid w:val="00596C0C"/>
    <w:rsid w:val="005B2BCC"/>
    <w:rsid w:val="005B58D5"/>
    <w:rsid w:val="005B7744"/>
    <w:rsid w:val="005C2E9F"/>
    <w:rsid w:val="005D35D4"/>
    <w:rsid w:val="00632AE2"/>
    <w:rsid w:val="006B4BA2"/>
    <w:rsid w:val="006C73C9"/>
    <w:rsid w:val="006F361B"/>
    <w:rsid w:val="006F6DAC"/>
    <w:rsid w:val="007171AD"/>
    <w:rsid w:val="00727F9D"/>
    <w:rsid w:val="00733966"/>
    <w:rsid w:val="00767B09"/>
    <w:rsid w:val="007D7A5D"/>
    <w:rsid w:val="007E09C0"/>
    <w:rsid w:val="00860699"/>
    <w:rsid w:val="00884C7E"/>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AD423B"/>
    <w:rsid w:val="00B52328"/>
    <w:rsid w:val="00B81AE4"/>
    <w:rsid w:val="00BC01D3"/>
    <w:rsid w:val="00BE0FC0"/>
    <w:rsid w:val="00BE5203"/>
    <w:rsid w:val="00BF6D64"/>
    <w:rsid w:val="00C01033"/>
    <w:rsid w:val="00C03795"/>
    <w:rsid w:val="00CA6D48"/>
    <w:rsid w:val="00CB3A09"/>
    <w:rsid w:val="00D174C4"/>
    <w:rsid w:val="00D22173"/>
    <w:rsid w:val="00D22D2F"/>
    <w:rsid w:val="00D35A73"/>
    <w:rsid w:val="00D41D73"/>
    <w:rsid w:val="00D477F3"/>
    <w:rsid w:val="00D50787"/>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2469</Words>
  <Characters>14571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2021-12-02T08:21:00Z</dcterms:created>
  <dcterms:modified xsi:type="dcterms:W3CDTF">2021-12-07T07:47:00Z</dcterms:modified>
</cp:coreProperties>
</file>