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A O VYUŽITÍ VÝSLEDKŮ</w:t>
      </w:r>
    </w:p>
    <w:p w14:paraId="017FBF4C" w14:textId="52B85E78" w:rsidR="00DE46F8" w:rsidRDefault="00DE46F8" w:rsidP="00DE46F8">
      <w:r>
        <w:tab/>
      </w:r>
      <w:r w:rsidRPr="00CC485F">
        <w:t>Číslo smlouvy</w:t>
      </w:r>
      <w:r>
        <w:t xml:space="preserve"> VUT</w:t>
      </w:r>
      <w:r w:rsidRPr="00CC485F">
        <w:t xml:space="preserve">: </w:t>
      </w:r>
      <w:r w:rsidRPr="00404B46">
        <w:t>22791/2021/00</w:t>
      </w:r>
      <w:r w:rsidRPr="00115EB1">
        <w:t xml:space="preserve"> </w:t>
      </w:r>
      <w:r w:rsidRPr="00115EB1">
        <w:tab/>
      </w:r>
      <w:r>
        <w:tab/>
      </w:r>
      <w:r>
        <w:tab/>
      </w:r>
      <w:r w:rsidRPr="00CC485F">
        <w:t>Číslo smlouvy</w:t>
      </w:r>
      <w:r>
        <w:t xml:space="preserve"> SZÚ</w:t>
      </w:r>
      <w:r w:rsidRPr="00CC485F">
        <w:t xml:space="preserve">: </w:t>
      </w:r>
      <w:r>
        <w:t>SMLD-2021-11-00</w:t>
      </w:r>
      <w:r w:rsidR="00105CA0">
        <w:t>0</w:t>
      </w:r>
      <w:r>
        <w:t>005</w:t>
      </w:r>
    </w:p>
    <w:p w14:paraId="079E6064" w14:textId="17C87D68"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EB60D09" w14:textId="77777777" w:rsidR="007F008B" w:rsidRPr="006522BB" w:rsidRDefault="007F008B" w:rsidP="007F008B">
      <w:pPr>
        <w:rPr>
          <w:b/>
        </w:rPr>
      </w:pPr>
      <w:r w:rsidRPr="006522BB">
        <w:rPr>
          <w:b/>
        </w:rPr>
        <w:t>Vysoké učení technické v Brně</w:t>
      </w:r>
    </w:p>
    <w:p w14:paraId="191EEE5C" w14:textId="7E296260"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proofErr w:type="spellStart"/>
      <w:r w:rsidR="0088092C">
        <w:t>xxxx</w:t>
      </w:r>
      <w:proofErr w:type="spellEnd"/>
      <w:r w:rsidRPr="00CC485F">
        <w:br/>
      </w:r>
      <w:r w:rsidRPr="007C11C0">
        <w:t xml:space="preserve">Zastoupené: </w:t>
      </w:r>
      <w:r w:rsidRPr="007C11C0">
        <w:tab/>
      </w:r>
      <w:proofErr w:type="spellStart"/>
      <w:r w:rsidR="0088092C">
        <w:t>xxxx</w:t>
      </w:r>
      <w:proofErr w:type="spellEnd"/>
      <w:r>
        <w:br/>
      </w:r>
      <w:r w:rsidRPr="007C11C0">
        <w:t>Odpovědný zaměstnanec za příjemce</w:t>
      </w:r>
      <w:r w:rsidR="00DD49DA">
        <w:t>/hlavní řešitel</w:t>
      </w:r>
      <w:r w:rsidRPr="007C11C0">
        <w:t xml:space="preserve">: </w:t>
      </w:r>
      <w:proofErr w:type="spellStart"/>
      <w:r w:rsidR="0088092C">
        <w:t>xxxx</w:t>
      </w:r>
      <w:proofErr w:type="spellEnd"/>
      <w:r w:rsidRPr="00120A6B">
        <w:br/>
        <w:t xml:space="preserve">dále též jako </w:t>
      </w:r>
      <w:r w:rsidRPr="00CC485F">
        <w:rPr>
          <w:b/>
        </w:rPr>
        <w:t>„</w:t>
      </w:r>
      <w:r>
        <w:rPr>
          <w:b/>
        </w:rPr>
        <w:t>příjemce</w:t>
      </w:r>
      <w:r w:rsidRPr="00CC485F">
        <w:rPr>
          <w:b/>
        </w:rPr>
        <w:t>“</w:t>
      </w:r>
      <w:r w:rsidR="00DC18EB">
        <w:rPr>
          <w:b/>
        </w:rPr>
        <w:t xml:space="preserve"> či „VUT“</w:t>
      </w:r>
    </w:p>
    <w:p w14:paraId="52AAFBF7" w14:textId="77777777" w:rsidR="007F008B" w:rsidRPr="00CC485F" w:rsidRDefault="007F008B" w:rsidP="007F008B">
      <w:pPr>
        <w:spacing w:before="360" w:after="360"/>
      </w:pPr>
      <w:r w:rsidRPr="00CC485F">
        <w:t>a</w:t>
      </w:r>
    </w:p>
    <w:p w14:paraId="04910395" w14:textId="57BE0DCA" w:rsidR="007F008B" w:rsidRPr="006522BB" w:rsidRDefault="0040550D" w:rsidP="007F008B">
      <w:pPr>
        <w:rPr>
          <w:b/>
        </w:rPr>
      </w:pPr>
      <w:r w:rsidRPr="0040550D">
        <w:rPr>
          <w:b/>
        </w:rPr>
        <w:t xml:space="preserve">Strojírenský zkušební ústav, </w:t>
      </w:r>
      <w:proofErr w:type="spellStart"/>
      <w:r w:rsidRPr="0040550D">
        <w:rPr>
          <w:b/>
        </w:rPr>
        <w:t>s.p</w:t>
      </w:r>
      <w:proofErr w:type="spellEnd"/>
      <w:r w:rsidRPr="0040550D">
        <w:rPr>
          <w:b/>
        </w:rPr>
        <w:t>.</w:t>
      </w:r>
    </w:p>
    <w:p w14:paraId="4A431E3B" w14:textId="7FF6343B" w:rsidR="007F008B" w:rsidRPr="00CC485F" w:rsidRDefault="007F008B" w:rsidP="007F008B">
      <w:pPr>
        <w:tabs>
          <w:tab w:val="left" w:pos="1701"/>
        </w:tabs>
        <w:jc w:val="left"/>
        <w:rPr>
          <w:b/>
        </w:rPr>
      </w:pPr>
      <w:r>
        <w:tab/>
      </w:r>
      <w:r w:rsidRPr="00CC485F">
        <w:t xml:space="preserve">Sídlem: </w:t>
      </w:r>
      <w:r w:rsidRPr="00CC485F">
        <w:tab/>
      </w:r>
      <w:r w:rsidR="0040550D" w:rsidRPr="0040550D">
        <w:t>Hudcova 424/56b, Medlánky, 621 00 Brno</w:t>
      </w:r>
      <w:r w:rsidRPr="00CC485F">
        <w:br/>
        <w:t xml:space="preserve">IČ: </w:t>
      </w:r>
      <w:r w:rsidRPr="00CC485F">
        <w:tab/>
      </w:r>
      <w:r w:rsidR="0040550D" w:rsidRPr="0040550D">
        <w:t>00001490</w:t>
      </w:r>
      <w:r w:rsidRPr="00CC485F">
        <w:br/>
        <w:t xml:space="preserve">DIČ: </w:t>
      </w:r>
      <w:r w:rsidRPr="00CC485F">
        <w:tab/>
      </w:r>
      <w:r w:rsidR="0040550D" w:rsidRPr="0040550D">
        <w:t>CZ00001490</w:t>
      </w:r>
      <w:r w:rsidRPr="00CC485F">
        <w:br/>
        <w:t xml:space="preserve">Bankovní spojení: </w:t>
      </w:r>
      <w:r w:rsidRPr="00CC485F">
        <w:tab/>
      </w:r>
      <w:proofErr w:type="spellStart"/>
      <w:r w:rsidR="0088092C">
        <w:t>xxxx</w:t>
      </w:r>
      <w:proofErr w:type="spellEnd"/>
      <w:r>
        <w:br/>
      </w:r>
      <w:r w:rsidR="0040550D" w:rsidRPr="00CC485F">
        <w:t>Zastoupen</w:t>
      </w:r>
      <w:r w:rsidR="0040550D">
        <w:t>ý</w:t>
      </w:r>
      <w:r w:rsidRPr="00CC485F">
        <w:t xml:space="preserve">: </w:t>
      </w:r>
      <w:r w:rsidRPr="00CC485F">
        <w:tab/>
      </w:r>
      <w:proofErr w:type="spellStart"/>
      <w:r w:rsidR="0088092C">
        <w:t>xxxx</w:t>
      </w:r>
      <w:proofErr w:type="spellEnd"/>
      <w:r w:rsidRPr="00CC485F">
        <w:t xml:space="preserve"> </w:t>
      </w:r>
      <w:r>
        <w:br/>
      </w:r>
      <w:r w:rsidRPr="007C11C0">
        <w:t xml:space="preserve">Odpovědný zaměstnanec za </w:t>
      </w:r>
      <w:r>
        <w:t>dalšího účastníka</w:t>
      </w:r>
      <w:r w:rsidR="00DD49DA">
        <w:t>/další řešitel</w:t>
      </w:r>
      <w:r w:rsidR="0088092C">
        <w:t xml:space="preserve">: </w:t>
      </w:r>
      <w:proofErr w:type="spellStart"/>
      <w:r w:rsidR="0088092C">
        <w:t>xxxx</w:t>
      </w:r>
      <w:proofErr w:type="spellEnd"/>
      <w:r w:rsidRPr="00CC485F">
        <w:br/>
      </w:r>
      <w:r w:rsidRPr="00120A6B">
        <w:t xml:space="preserve">dále též jako </w:t>
      </w:r>
      <w:r w:rsidRPr="00CC485F">
        <w:rPr>
          <w:b/>
        </w:rPr>
        <w:t>„</w:t>
      </w:r>
      <w:r>
        <w:rPr>
          <w:b/>
        </w:rPr>
        <w:t>další účastník</w:t>
      </w:r>
      <w:r w:rsidRPr="00CC485F">
        <w:rPr>
          <w:b/>
        </w:rPr>
        <w:t>“</w:t>
      </w:r>
      <w:r w:rsidR="00DC18EB">
        <w:rPr>
          <w:b/>
        </w:rPr>
        <w:t xml:space="preserve"> či „SZÚ“</w:t>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57475462" w:rsidR="00EE64BC" w:rsidRDefault="00EE64BC" w:rsidP="00EE64BC">
      <w:r w:rsidRPr="00E175E2">
        <w:t>1</w:t>
      </w:r>
      <w:r>
        <w:t>.</w:t>
      </w:r>
      <w:r w:rsidRPr="00E175E2">
        <w:tab/>
        <w:t>Předmětem této smlouvy je stanovení podmínek spolupráce smluv</w:t>
      </w:r>
      <w:r w:rsidR="000A2CE7">
        <w:t>ních stran na řešení projektu z </w:t>
      </w:r>
      <w:r w:rsidRPr="00E175E2">
        <w:t>oblasti výzkumu a vývoje</w:t>
      </w:r>
      <w:r>
        <w:t xml:space="preserve"> </w:t>
      </w:r>
      <w:r w:rsidRPr="004B7A2E">
        <w:rPr>
          <w:bCs/>
        </w:rPr>
        <w:t xml:space="preserve">předkládaného </w:t>
      </w:r>
      <w:r w:rsidR="0059200B">
        <w:rPr>
          <w:bCs/>
        </w:rPr>
        <w:t>v</w:t>
      </w:r>
      <w:r w:rsidR="00A4176E">
        <w:rPr>
          <w:bCs/>
        </w:rPr>
        <w:t>e</w:t>
      </w:r>
      <w:r w:rsidR="0059200B">
        <w:rPr>
          <w:bCs/>
        </w:rPr>
        <w:t xml:space="preserve"> </w:t>
      </w:r>
      <w:r w:rsidR="00A4176E">
        <w:rPr>
          <w:bCs/>
        </w:rPr>
        <w:t>4</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na podporu aplikovaného </w:t>
      </w:r>
      <w:r w:rsidR="003237F5">
        <w:rPr>
          <w:bCs/>
        </w:rPr>
        <w:t xml:space="preserve">výzkumu, experimentálního vývoje a inovací </w:t>
      </w:r>
      <w:r w:rsidR="00A4176E">
        <w:rPr>
          <w:bCs/>
        </w:rPr>
        <w:t>Théta</w:t>
      </w:r>
      <w:r w:rsidR="00397741">
        <w:rPr>
          <w:bCs/>
        </w:rPr>
        <w:t>“</w:t>
      </w:r>
      <w:r w:rsidR="00A4176E">
        <w:rPr>
          <w:bCs/>
        </w:rPr>
        <w:t xml:space="preserve">, </w:t>
      </w:r>
      <w:r w:rsidR="0040550D" w:rsidRPr="0040550D">
        <w:rPr>
          <w:bCs/>
        </w:rPr>
        <w:t>podprogramu 1 – Výzkum ve veřejném zájmu</w:t>
      </w:r>
      <w:r w:rsidR="0040550D" w:rsidRPr="0040550D" w:rsidDel="0040550D">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667D0BA4" w:rsidR="00EE64BC" w:rsidRPr="00663C1C" w:rsidRDefault="00EE64BC" w:rsidP="00115EB1">
      <w:pPr>
        <w:ind w:left="1134" w:hanging="1134"/>
        <w:rPr>
          <w:b/>
        </w:rPr>
      </w:pPr>
      <w:r w:rsidRPr="00663C1C">
        <w:rPr>
          <w:b/>
        </w:rPr>
        <w:t>Název:</w:t>
      </w:r>
      <w:r w:rsidRPr="00663C1C">
        <w:rPr>
          <w:b/>
        </w:rPr>
        <w:tab/>
      </w:r>
      <w:r w:rsidR="0040550D" w:rsidRPr="0040550D">
        <w:rPr>
          <w:b/>
        </w:rPr>
        <w:t>Implementace certifikačních procesů pro zajištění integrace rozptýlených zdrojů v</w:t>
      </w:r>
      <w:r w:rsidR="0040550D">
        <w:rPr>
          <w:b/>
        </w:rPr>
        <w:t> </w:t>
      </w:r>
      <w:r w:rsidR="0040550D" w:rsidRPr="0040550D">
        <w:rPr>
          <w:b/>
        </w:rPr>
        <w:t>souladu s požadavky Nařízení EU</w:t>
      </w:r>
    </w:p>
    <w:p w14:paraId="04E40E01" w14:textId="46B824B9" w:rsidR="00EE64BC" w:rsidRPr="00663C1C" w:rsidRDefault="00EE64BC" w:rsidP="00EE64BC">
      <w:pPr>
        <w:rPr>
          <w:b/>
        </w:rPr>
      </w:pPr>
      <w:proofErr w:type="spellStart"/>
      <w:r w:rsidRPr="00663C1C">
        <w:rPr>
          <w:b/>
        </w:rPr>
        <w:t>Reg</w:t>
      </w:r>
      <w:proofErr w:type="spellEnd"/>
      <w:r w:rsidRPr="00663C1C">
        <w:rPr>
          <w:b/>
        </w:rPr>
        <w:t>.</w:t>
      </w:r>
      <w:r w:rsidR="00DD4F56">
        <w:rPr>
          <w:b/>
        </w:rPr>
        <w:t xml:space="preserve"> </w:t>
      </w:r>
      <w:r w:rsidRPr="00663C1C">
        <w:rPr>
          <w:b/>
        </w:rPr>
        <w:t xml:space="preserve">č.: </w:t>
      </w:r>
      <w:r w:rsidRPr="00663C1C">
        <w:rPr>
          <w:b/>
        </w:rPr>
        <w:tab/>
      </w:r>
      <w:r w:rsidR="00365C43" w:rsidRPr="00365C43">
        <w:rPr>
          <w:b/>
        </w:rPr>
        <w:t>TK04010060</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5527D920" w:rsidR="00EE64BC" w:rsidRDefault="00EE64BC" w:rsidP="00EE64BC">
      <w:r>
        <w:t>1.</w:t>
      </w:r>
      <w:r>
        <w:tab/>
        <w:t xml:space="preserve">Řešení projektu je rozloženo do období od </w:t>
      </w:r>
      <w:r w:rsidR="00365C43" w:rsidRPr="00115EB1">
        <w:t>01</w:t>
      </w:r>
      <w:r w:rsidR="00DD49DA" w:rsidRPr="00115EB1">
        <w:t>/202</w:t>
      </w:r>
      <w:r w:rsidR="00A4176E" w:rsidRPr="00115EB1">
        <w:t>2</w:t>
      </w:r>
      <w:r w:rsidRPr="00365C43">
        <w:t xml:space="preserve"> do </w:t>
      </w:r>
      <w:r w:rsidR="00365C43" w:rsidRPr="00115EB1">
        <w:t>12/2023</w:t>
      </w:r>
    </w:p>
    <w:p w14:paraId="7CF3819E" w14:textId="74C171D8" w:rsidR="00EE64BC" w:rsidRDefault="00EE64BC" w:rsidP="00EE64BC">
      <w:r>
        <w:t>2.</w:t>
      </w:r>
      <w:r>
        <w:tab/>
        <w:t xml:space="preserve">Předmětem řešení projektu je </w:t>
      </w:r>
      <w:r w:rsidR="009D184C" w:rsidRPr="009D184C">
        <w:t xml:space="preserve">vytvoření a naplnění metodického rámce pro ověřování výroben, jakožto nástroje pro zajištění naplňování požadavků technických regulací na připojování a provoz rozptýlených výroben. </w:t>
      </w:r>
    </w:p>
    <w:p w14:paraId="24C08CAF" w14:textId="3C3967C6" w:rsidR="00EE64BC" w:rsidRDefault="00EE64BC" w:rsidP="00EE64BC">
      <w:r>
        <w:lastRenderedPageBreak/>
        <w:t>3.</w:t>
      </w:r>
      <w:r>
        <w:tab/>
        <w:t xml:space="preserve">Cíle </w:t>
      </w:r>
      <w:r w:rsidRPr="00643AA9">
        <w:t>projektu:</w:t>
      </w:r>
      <w:r w:rsidRPr="00115EB1">
        <w:t xml:space="preserve"> </w:t>
      </w:r>
      <w:r w:rsidR="009D184C" w:rsidRPr="00643AA9">
        <w:t>Cíl</w:t>
      </w:r>
      <w:r w:rsidR="009D184C" w:rsidRPr="009D184C">
        <w:t>em projektu je identifikovat možnosti aplikace, analyzovat a v podobě metodiky zformulovat metody a procesy prokazování a udržování souladu výroben s požadavky na připojení na základě certifikátů. Nedílnou součástí je vymezení podmíněností, vazeb, zastupitelnosti a platnosti certifikátů. Zaměření je předpokládáno především na výrobny připojované do distribuční soustavy (DS) vysokého (</w:t>
      </w:r>
      <w:proofErr w:type="spellStart"/>
      <w:r w:rsidR="009D184C" w:rsidRPr="009D184C">
        <w:t>vn</w:t>
      </w:r>
      <w:proofErr w:type="spellEnd"/>
      <w:r w:rsidR="009D184C" w:rsidRPr="009D184C">
        <w:t>) a nízkého napětí (</w:t>
      </w:r>
      <w:proofErr w:type="spellStart"/>
      <w:r w:rsidR="009D184C" w:rsidRPr="009D184C">
        <w:t>nn</w:t>
      </w:r>
      <w:proofErr w:type="spellEnd"/>
      <w:r w:rsidR="009D184C" w:rsidRPr="009D184C">
        <w:t>). Současně je cílem nezbytný výzkum, vývoj a vymezení podpůrných certifikovaných metod a technik pro ověřování souladu komponent, výrobních jednotek a modulů a jejich monitoring testováním a měřením v laboratorních i provozních podmínkách. Tyto metody a techniky představují nástroj pro potřebné fyzické ověřování souladu, ke kterým je ověřování numerickou simulací komplementární.</w:t>
      </w:r>
      <w:r w:rsidR="009D184C" w:rsidRPr="009D184C" w:rsidDel="009D184C">
        <w:rPr>
          <w:highlight w:val="yellow"/>
        </w:rPr>
        <w:t xml:space="preserve"> </w:t>
      </w:r>
    </w:p>
    <w:p w14:paraId="06D14F54" w14:textId="77777777" w:rsidR="00FC2658" w:rsidRDefault="00EE64BC" w:rsidP="00EE64BC">
      <w:r>
        <w:t>4.</w:t>
      </w:r>
      <w:r>
        <w:tab/>
        <w:t xml:space="preserve">Předpokládané výsledky: </w:t>
      </w:r>
    </w:p>
    <w:p w14:paraId="49CDA64B" w14:textId="6FBD3C96" w:rsidR="00FC2658" w:rsidRDefault="00FC2658" w:rsidP="00115EB1">
      <w:pPr>
        <w:pStyle w:val="Odstavecseseznamem"/>
        <w:numPr>
          <w:ilvl w:val="0"/>
          <w:numId w:val="8"/>
        </w:numPr>
      </w:pPr>
      <w:r>
        <w:t xml:space="preserve">Metodika ověřování a prokazování souladu výroben s požadavky na připojení do distribuční soustavy, druh výsledku: </w:t>
      </w:r>
      <w:proofErr w:type="spellStart"/>
      <w:r>
        <w:t>NmetS</w:t>
      </w:r>
      <w:proofErr w:type="spellEnd"/>
      <w:r>
        <w:t xml:space="preserve"> - Metodiky schválené příslušným orgánem státní správy, do jehož kompetence daná problematika spadá, termín dosažení 12/2022 </w:t>
      </w:r>
      <w:r w:rsidR="009905CC">
        <w:t xml:space="preserve">(označení výsledku </w:t>
      </w:r>
      <w:r w:rsidR="009905CC" w:rsidRPr="009905CC">
        <w:t>TK04010060-V1</w:t>
      </w:r>
      <w:r w:rsidR="009905CC">
        <w:t>),</w:t>
      </w:r>
    </w:p>
    <w:p w14:paraId="09E1CC0D" w14:textId="014EFDF6" w:rsidR="00EE64BC" w:rsidRDefault="00FC2658" w:rsidP="00115EB1">
      <w:pPr>
        <w:pStyle w:val="Odstavecseseznamem"/>
        <w:numPr>
          <w:ilvl w:val="0"/>
          <w:numId w:val="8"/>
        </w:numPr>
      </w:pPr>
      <w:r>
        <w:t xml:space="preserve">Testovací metody a techniky pro ověřování souladu výrobních zařízení a výroben a jejich monitoring, druh výsledku: O - Ostatní výsledky, termín dosažení 12/2023 </w:t>
      </w:r>
      <w:r w:rsidR="009905CC">
        <w:t xml:space="preserve">(označení výsledku </w:t>
      </w:r>
      <w:r w:rsidR="009905CC" w:rsidRPr="009905CC">
        <w:t>TK04010060-V</w:t>
      </w:r>
      <w:r w:rsidR="009905CC">
        <w:t>2).</w:t>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2C69F834" w:rsidR="00EE64BC" w:rsidRDefault="00EE64BC" w:rsidP="00EE64BC">
      <w:r>
        <w:t>1.</w:t>
      </w:r>
      <w:r>
        <w:tab/>
        <w:t>Smluvní strany se za účelem naplnění předmětu smlouvy vymezeného výše zavazují spolupracovat tak, že zajistí spolupráci řešitele a dalšího řešitele (příp. dalších pověřených osob) na řešení následujících úkolů v rámci projektu</w:t>
      </w:r>
      <w:r w:rsidR="00B216C9">
        <w:t xml:space="preserve">, kde </w:t>
      </w:r>
      <w:r w:rsidR="00B216C9" w:rsidRPr="00115EB1">
        <w:t>tučně je vyznačena ta smluvní strana, která je za daný úkol zodpovědná</w:t>
      </w:r>
      <w:r>
        <w:t>:</w:t>
      </w:r>
    </w:p>
    <w:p w14:paraId="2AA023FC" w14:textId="77777777" w:rsidR="00B216C9" w:rsidRDefault="00B216C9" w:rsidP="00115EB1">
      <w:pPr>
        <w:pStyle w:val="Odstavecseseznamem"/>
        <w:numPr>
          <w:ilvl w:val="0"/>
          <w:numId w:val="8"/>
        </w:numPr>
      </w:pPr>
      <w:r>
        <w:t>Metodika ověřování a prokazování souladu výroben s požadavky na připojení do distribuční soustavy</w:t>
      </w:r>
    </w:p>
    <w:p w14:paraId="4ABEB569" w14:textId="67C25DF5" w:rsidR="00B216C9" w:rsidRDefault="00B216C9" w:rsidP="00115EB1">
      <w:pPr>
        <w:pStyle w:val="Odstavecseseznamem"/>
        <w:numPr>
          <w:ilvl w:val="1"/>
          <w:numId w:val="8"/>
        </w:numPr>
      </w:pPr>
      <w:r>
        <w:t xml:space="preserve">Analýza procesního a legislativního rámce. Rozbor a vymezení možností a podmínek pro uplatnění ověřování testováním a prokazování souladu na základě certifikátů zařízení, komplementárně k ověřování souladu simulacemi. (VUT, </w:t>
      </w:r>
      <w:r w:rsidRPr="00115EB1">
        <w:rPr>
          <w:b/>
        </w:rPr>
        <w:t>SZÚ</w:t>
      </w:r>
      <w:r>
        <w:t>),</w:t>
      </w:r>
    </w:p>
    <w:p w14:paraId="11424AEC" w14:textId="29AAF141" w:rsidR="00B216C9" w:rsidRDefault="00B216C9" w:rsidP="00115EB1">
      <w:pPr>
        <w:pStyle w:val="Odstavecseseznamem"/>
        <w:numPr>
          <w:ilvl w:val="1"/>
          <w:numId w:val="8"/>
        </w:numPr>
      </w:pPr>
      <w:r>
        <w:t>Průzkum implementace v EU. Průzkum a analýza relevantních metodik a stavu implementace v jiných státech EU. (</w:t>
      </w:r>
      <w:r w:rsidRPr="00115EB1">
        <w:rPr>
          <w:b/>
        </w:rPr>
        <w:t>VUT</w:t>
      </w:r>
      <w:r>
        <w:t>, SZÚ),</w:t>
      </w:r>
    </w:p>
    <w:p w14:paraId="3741080B" w14:textId="040168ED" w:rsidR="00B216C9" w:rsidRDefault="00B216C9" w:rsidP="00115EB1">
      <w:pPr>
        <w:pStyle w:val="Odstavecseseznamem"/>
        <w:numPr>
          <w:ilvl w:val="1"/>
          <w:numId w:val="8"/>
        </w:numPr>
      </w:pPr>
      <w:r>
        <w:t>Identifikace národních specifik. Určení podmínek, požadavků a potřeb vycházejících z českého prostředí. (</w:t>
      </w:r>
      <w:r w:rsidRPr="00115EB1">
        <w:rPr>
          <w:b/>
        </w:rPr>
        <w:t>VUT</w:t>
      </w:r>
      <w:r>
        <w:t>, SZÚ),</w:t>
      </w:r>
    </w:p>
    <w:p w14:paraId="54DE4C56" w14:textId="3195FC59" w:rsidR="00B216C9" w:rsidRDefault="00B216C9" w:rsidP="00115EB1">
      <w:pPr>
        <w:pStyle w:val="Odstavecseseznamem"/>
        <w:numPr>
          <w:ilvl w:val="1"/>
          <w:numId w:val="8"/>
        </w:numPr>
      </w:pPr>
      <w:r>
        <w:t xml:space="preserve">Vytvoření základního rámce metodiky. Definice základních atributů, komponent, praktik – technik a postupů metodiky integrující testování souladu a jeho prokazování certifikáty. (VUT, </w:t>
      </w:r>
      <w:r w:rsidRPr="00115EB1">
        <w:rPr>
          <w:b/>
        </w:rPr>
        <w:t>SZÚ</w:t>
      </w:r>
      <w:r>
        <w:t>),</w:t>
      </w:r>
    </w:p>
    <w:p w14:paraId="6F235DE0" w14:textId="02B40A9C" w:rsidR="00B216C9" w:rsidRDefault="00B216C9" w:rsidP="00115EB1">
      <w:pPr>
        <w:pStyle w:val="Odstavecseseznamem"/>
        <w:numPr>
          <w:ilvl w:val="1"/>
          <w:numId w:val="8"/>
        </w:numPr>
      </w:pPr>
      <w:r>
        <w:t>Specifikace metod. Vyjádření vlastností a parametrů jednotlivých metod a jejich vzájemného vztahu. (</w:t>
      </w:r>
      <w:r w:rsidRPr="00115EB1">
        <w:rPr>
          <w:b/>
        </w:rPr>
        <w:t>VUT</w:t>
      </w:r>
      <w:r>
        <w:t>, SZÚ).</w:t>
      </w:r>
    </w:p>
    <w:p w14:paraId="229F7884" w14:textId="77777777" w:rsidR="00B216C9" w:rsidRDefault="00B216C9" w:rsidP="00115EB1">
      <w:pPr>
        <w:pStyle w:val="Odstavecseseznamem"/>
        <w:numPr>
          <w:ilvl w:val="0"/>
          <w:numId w:val="8"/>
        </w:numPr>
      </w:pPr>
      <w:r>
        <w:t xml:space="preserve">Techniky pro ověřování souladu výrobních zařízení a výroben a jejich monitoring </w:t>
      </w:r>
    </w:p>
    <w:p w14:paraId="5ADF2DBA" w14:textId="50F0A271" w:rsidR="00B216C9" w:rsidRDefault="00B216C9" w:rsidP="00115EB1">
      <w:pPr>
        <w:pStyle w:val="Odstavecseseznamem"/>
        <w:numPr>
          <w:ilvl w:val="1"/>
          <w:numId w:val="8"/>
        </w:numPr>
      </w:pPr>
      <w:r>
        <w:t>Rešerše dostupných řešení. Průzkum testovacích systémů a perspektivních technik pro testování souladu. (</w:t>
      </w:r>
      <w:r w:rsidRPr="00115EB1">
        <w:rPr>
          <w:b/>
        </w:rPr>
        <w:t>VUT</w:t>
      </w:r>
      <w:r>
        <w:t>),</w:t>
      </w:r>
    </w:p>
    <w:p w14:paraId="3EEA273D" w14:textId="48360134" w:rsidR="00B216C9" w:rsidRDefault="00B216C9" w:rsidP="00115EB1">
      <w:pPr>
        <w:pStyle w:val="Odstavecseseznamem"/>
        <w:numPr>
          <w:ilvl w:val="1"/>
          <w:numId w:val="8"/>
        </w:numPr>
      </w:pPr>
      <w:r>
        <w:t>Identifikace alternativních řešení. Identifikace a vymezení perspektivních způsobů testování souladu výroben a jejich zařízení v laboratorních a terénních podmínkách. (</w:t>
      </w:r>
      <w:r w:rsidRPr="00115EB1">
        <w:rPr>
          <w:b/>
        </w:rPr>
        <w:t>VUT</w:t>
      </w:r>
      <w:r>
        <w:t>, SZÚ),</w:t>
      </w:r>
    </w:p>
    <w:p w14:paraId="37F033DD" w14:textId="167FF1E0" w:rsidR="00B216C9" w:rsidRDefault="00B216C9" w:rsidP="00115EB1">
      <w:pPr>
        <w:pStyle w:val="Odstavecseseznamem"/>
        <w:numPr>
          <w:ilvl w:val="1"/>
          <w:numId w:val="8"/>
        </w:numPr>
      </w:pPr>
      <w:r>
        <w:t xml:space="preserve">Vývoj alternativních technik. Vývoj alternativních testovacích technik pro fyzické ověřování souladu výroben a jejich zařízení v místě instalace, s uplatnitelností ve fázi </w:t>
      </w:r>
      <w:r>
        <w:lastRenderedPageBreak/>
        <w:t>uvádění do provozu (testování souladu) i ve fázi provozu výroben (monitorování souladu). (</w:t>
      </w:r>
      <w:r w:rsidRPr="00115EB1">
        <w:rPr>
          <w:b/>
        </w:rPr>
        <w:t>VUT</w:t>
      </w:r>
      <w:r>
        <w:t>),</w:t>
      </w:r>
    </w:p>
    <w:p w14:paraId="150283EC" w14:textId="6D049B31" w:rsidR="00B216C9" w:rsidRDefault="00B216C9" w:rsidP="00115EB1">
      <w:pPr>
        <w:pStyle w:val="Odstavecseseznamem"/>
        <w:numPr>
          <w:ilvl w:val="1"/>
          <w:numId w:val="8"/>
        </w:numPr>
      </w:pPr>
      <w:r>
        <w:t>Implementace a ověření zkušebních technik. Realizace základních vyvinutých zkušebních technik (systémů a procedur) pro ověření jejich proveditelnosti, vlastností a použitelnosti. (</w:t>
      </w:r>
      <w:r w:rsidRPr="00115EB1">
        <w:rPr>
          <w:b/>
        </w:rPr>
        <w:t>VUT</w:t>
      </w:r>
      <w:r>
        <w:t>),</w:t>
      </w:r>
    </w:p>
    <w:p w14:paraId="1C8BB806" w14:textId="5522879D" w:rsidR="00B216C9" w:rsidRDefault="00B216C9" w:rsidP="00115EB1">
      <w:pPr>
        <w:pStyle w:val="Odstavecseseznamem"/>
        <w:numPr>
          <w:ilvl w:val="1"/>
          <w:numId w:val="8"/>
        </w:numPr>
      </w:pPr>
      <w:r>
        <w:t xml:space="preserve">Specifikace a charakterizace zkušebních technik. Vyjádření požadavků na vlastnosti a parametry jednotlivých testovacích technik (zkušebních systémů a postupů). (VUT, </w:t>
      </w:r>
      <w:r w:rsidRPr="00115EB1">
        <w:rPr>
          <w:b/>
        </w:rPr>
        <w:t>SZÚ</w:t>
      </w:r>
      <w:r>
        <w:t>).</w:t>
      </w:r>
    </w:p>
    <w:p w14:paraId="4CFEC434" w14:textId="77777777" w:rsidR="00B216C9" w:rsidRDefault="00B216C9" w:rsidP="00115EB1">
      <w:pPr>
        <w:pStyle w:val="Odstavecseseznamem"/>
        <w:numPr>
          <w:ilvl w:val="0"/>
          <w:numId w:val="8"/>
        </w:numPr>
      </w:pPr>
      <w:r>
        <w:t>Prezentace a odborně-veřejná diskuze</w:t>
      </w:r>
    </w:p>
    <w:p w14:paraId="64B9CF70" w14:textId="75FFD68E" w:rsidR="00B216C9" w:rsidRDefault="00B216C9" w:rsidP="00115EB1">
      <w:pPr>
        <w:pStyle w:val="Odstavecseseznamem"/>
        <w:numPr>
          <w:ilvl w:val="1"/>
          <w:numId w:val="8"/>
        </w:numPr>
      </w:pPr>
      <w:r>
        <w:t>Článek v odborném časopise. Představení základních rysů a detailů vytvořené metodiky a metod – technik testování souladu. (</w:t>
      </w:r>
      <w:r w:rsidRPr="00115EB1">
        <w:rPr>
          <w:b/>
        </w:rPr>
        <w:t>VUT</w:t>
      </w:r>
      <w:r>
        <w:t>, SZÚ),</w:t>
      </w:r>
    </w:p>
    <w:p w14:paraId="16D9164D" w14:textId="43B3EC74" w:rsidR="00EE64BC" w:rsidRDefault="00B216C9" w:rsidP="00115EB1">
      <w:pPr>
        <w:pStyle w:val="Odstavecseseznamem"/>
        <w:numPr>
          <w:ilvl w:val="1"/>
          <w:numId w:val="8"/>
        </w:numPr>
      </w:pPr>
      <w:r>
        <w:t>Workshop pro odbornou veřejnost. Uspořádání workshopu s prezentací výsledků projektu a diskuzí k implementaci. (</w:t>
      </w:r>
      <w:r w:rsidRPr="00115EB1">
        <w:rPr>
          <w:b/>
        </w:rPr>
        <w:t>VUT</w:t>
      </w:r>
      <w:r>
        <w:t>, SZÚ).</w:t>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6D19299"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00365C43" w:rsidRPr="00115EB1">
        <w:rPr>
          <w:b/>
        </w:rPr>
        <w:t>856</w:t>
      </w:r>
      <w:r w:rsidR="00365C43">
        <w:rPr>
          <w:b/>
        </w:rPr>
        <w:t>.</w:t>
      </w:r>
      <w:r w:rsidR="00365C43" w:rsidRPr="00115EB1">
        <w:rPr>
          <w:b/>
        </w:rPr>
        <w:t>916</w:t>
      </w:r>
      <w:r w:rsidRPr="00365C43">
        <w:rPr>
          <w:b/>
        </w:rPr>
        <w:t>,- Kč,</w:t>
      </w:r>
      <w:r w:rsidRPr="00AF3A0E">
        <w:rPr>
          <w:b/>
        </w:rPr>
        <w:t xml:space="preserve"> </w:t>
      </w:r>
    </w:p>
    <w:p w14:paraId="0896D988" w14:textId="60F1E1C1" w:rsidR="00681CE9" w:rsidRPr="00115EB1" w:rsidRDefault="00EE64BC" w:rsidP="00E132EA">
      <w:pPr>
        <w:jc w:val="center"/>
      </w:pPr>
      <w:r w:rsidRPr="00115EB1">
        <w:t>a to v roce 20</w:t>
      </w:r>
      <w:r w:rsidR="00147AA5" w:rsidRPr="00115EB1">
        <w:t>2</w:t>
      </w:r>
      <w:r w:rsidR="00BE3C8E" w:rsidRPr="00115EB1">
        <w:t>2</w:t>
      </w:r>
      <w:r w:rsidRPr="00115EB1">
        <w:t xml:space="preserve"> ve výši </w:t>
      </w:r>
      <w:r w:rsidR="00365C43" w:rsidRPr="00365C43">
        <w:t>428.458</w:t>
      </w:r>
      <w:r w:rsidRPr="00115EB1">
        <w:t>,- Kč</w:t>
      </w:r>
      <w:r w:rsidR="00681CE9" w:rsidRPr="00115EB1">
        <w:t xml:space="preserve">, </w:t>
      </w:r>
    </w:p>
    <w:p w14:paraId="03FCCB73" w14:textId="3A6E91CA" w:rsidR="00EE64BC" w:rsidRDefault="00681CE9">
      <w:pPr>
        <w:jc w:val="center"/>
      </w:pPr>
      <w:r w:rsidRPr="00115EB1">
        <w:t>v roce 20</w:t>
      </w:r>
      <w:r w:rsidR="00147AA5" w:rsidRPr="00115EB1">
        <w:t>2</w:t>
      </w:r>
      <w:r w:rsidR="00BE3C8E" w:rsidRPr="00115EB1">
        <w:t>3</w:t>
      </w:r>
      <w:r w:rsidRPr="00115EB1">
        <w:t xml:space="preserve"> ve výši </w:t>
      </w:r>
      <w:r w:rsidR="00365C43" w:rsidRPr="00365C43">
        <w:t>428.458</w:t>
      </w:r>
      <w:r w:rsidRPr="00115EB1">
        <w:t>,-Kč</w:t>
      </w:r>
      <w:r w:rsidR="00365C43" w:rsidRPr="00115EB1">
        <w:t>.</w:t>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0FC968CE" w:rsidR="00EE64BC" w:rsidRDefault="00EE64BC" w:rsidP="00EE64BC">
      <w:pPr>
        <w:pStyle w:val="Odstavecseseznamem"/>
        <w:numPr>
          <w:ilvl w:val="0"/>
          <w:numId w:val="7"/>
        </w:numPr>
        <w:tabs>
          <w:tab w:val="clear" w:pos="425"/>
        </w:tabs>
      </w:pPr>
      <w:r>
        <w:t xml:space="preserve">ze strany příjemce: </w:t>
      </w:r>
      <w:r w:rsidR="00365C43">
        <w:t>0</w:t>
      </w:r>
      <w:r w:rsidR="00365C43" w:rsidRPr="00510D34">
        <w:t>,-Kč</w:t>
      </w:r>
      <w:r w:rsidR="00365C43" w:rsidRPr="00365C43" w:rsidDel="00365C43">
        <w:rPr>
          <w:highlight w:val="yellow"/>
        </w:rPr>
        <w:t xml:space="preserve"> </w:t>
      </w:r>
    </w:p>
    <w:p w14:paraId="5846BE51" w14:textId="3CC67284" w:rsidR="00EE64BC" w:rsidRDefault="00EE64BC" w:rsidP="00EE64BC">
      <w:pPr>
        <w:pStyle w:val="Odstavecseseznamem"/>
        <w:numPr>
          <w:ilvl w:val="0"/>
          <w:numId w:val="7"/>
        </w:numPr>
        <w:tabs>
          <w:tab w:val="clear" w:pos="425"/>
        </w:tabs>
      </w:pPr>
      <w:r>
        <w:t>ze strany dalšího účastníka projektu</w:t>
      </w:r>
      <w:r w:rsidR="00365C43">
        <w:t>:</w:t>
      </w:r>
      <w:r>
        <w:t xml:space="preserve"> </w:t>
      </w:r>
      <w:r w:rsidR="00365C43" w:rsidRPr="00365C43">
        <w:t>916</w:t>
      </w:r>
      <w:r w:rsidR="00365C43">
        <w:t>.</w:t>
      </w:r>
      <w:r w:rsidR="00365C43" w:rsidRPr="00365C43">
        <w:t>318</w:t>
      </w:r>
      <w:r w:rsidR="00365C43" w:rsidRPr="00510D34">
        <w:t>,-Kč</w:t>
      </w:r>
      <w:r w:rsidR="00365C43" w:rsidRPr="00365C43" w:rsidDel="00365C43">
        <w:rPr>
          <w:highlight w:val="yellow"/>
        </w:rPr>
        <w:t xml:space="preserve"> </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w:t>
      </w:r>
      <w:r>
        <w:lastRenderedPageBreak/>
        <w:t>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w:t>
      </w:r>
      <w:r w:rsidRPr="00894781">
        <w:t xml:space="preserve">do dne </w:t>
      </w:r>
      <w:r w:rsidRPr="00185F9A">
        <w:rPr>
          <w:b/>
        </w:rPr>
        <w:t>31. 12</w:t>
      </w:r>
      <w:r w:rsidRPr="00185F9A">
        <w:t>.</w:t>
      </w:r>
      <w:r w:rsidRPr="00894781">
        <w:t xml:space="preserve"> kalendářního roku, ve kterém trvá řešení projektu, písemnou roční zprávu o realizaci části projektu v průběhu daného roku. Do </w:t>
      </w:r>
      <w:r w:rsidRPr="00185F9A">
        <w:rPr>
          <w:b/>
        </w:rPr>
        <w:t>12. 1</w:t>
      </w:r>
      <w:r w:rsidRPr="00185F9A">
        <w:t>.</w:t>
      </w:r>
      <w:r w:rsidRPr="00894781">
        <w:t xml:space="preserve"> následujícího roku musí příjemci předložit podrobné vyúčtování hospodaření s poskytnutými účelovými finančními prostředky. Návazně je další účastník projektu povinen vrátit příjemci do dne </w:t>
      </w:r>
      <w:r w:rsidRPr="00185F9A">
        <w:rPr>
          <w:b/>
        </w:rPr>
        <w:t>31. 1</w:t>
      </w:r>
      <w:r w:rsidR="00AB3329" w:rsidRPr="00185F9A">
        <w:rPr>
          <w:b/>
        </w:rPr>
        <w:t>2</w:t>
      </w:r>
      <w:r w:rsidRPr="00185F9A">
        <w:rPr>
          <w:b/>
        </w:rPr>
        <w:t>.</w:t>
      </w:r>
      <w:r w:rsidRPr="00894781">
        <w:t xml:space="preserve"> </w:t>
      </w:r>
      <w:r w:rsidR="00AB3329" w:rsidRPr="00894781">
        <w:t>daného</w:t>
      </w:r>
      <w:r w:rsidRPr="00894781">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185F9A">
        <w:rPr>
          <w:b/>
        </w:rPr>
        <w:t>15. 2</w:t>
      </w:r>
      <w:r w:rsidRPr="00185F9A">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436454BB"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3237F5" w:rsidRPr="00397741">
        <w:rPr>
          <w:bCs/>
        </w:rPr>
        <w:t xml:space="preserve">Programu na podporu aplikovaného </w:t>
      </w:r>
      <w:r w:rsidR="003237F5">
        <w:rPr>
          <w:bCs/>
        </w:rPr>
        <w:t xml:space="preserve">výzkumu, experimentálního vývoje a inovací </w:t>
      </w:r>
      <w:r w:rsidR="00BE3C8E">
        <w:rPr>
          <w:bCs/>
        </w:rPr>
        <w:t>THÉTA</w:t>
      </w:r>
      <w:r w:rsidRPr="00B70AD4">
        <w:rPr>
          <w:bCs/>
        </w:rPr>
        <w:t xml:space="preserve">“ </w:t>
      </w:r>
      <w:r>
        <w:t>Technologické agentury České republiky.</w:t>
      </w:r>
    </w:p>
    <w:p w14:paraId="655D5952" w14:textId="1D4727CF" w:rsidR="00BE3C8E" w:rsidRDefault="00BE3C8E" w:rsidP="00365EFB">
      <w:pPr>
        <w:pStyle w:val="Odstavecseseznamem"/>
        <w:numPr>
          <w:ilvl w:val="0"/>
          <w:numId w:val="4"/>
        </w:numPr>
        <w:tabs>
          <w:tab w:val="clear" w:pos="425"/>
        </w:tabs>
      </w:pPr>
      <w:r>
        <w:t xml:space="preserve">Poskytovat spolu s příjemcem veškerou součinnost nezbytnou pro účinné zapojení aplikačního garanta v souladu se Zadávací dokumentací 4. veřejné soutěže </w:t>
      </w:r>
      <w:r w:rsidRPr="00397741">
        <w:rPr>
          <w:bCs/>
        </w:rPr>
        <w:t xml:space="preserve">Programu na podporu aplikovaného </w:t>
      </w:r>
      <w:r>
        <w:rPr>
          <w:bCs/>
        </w:rPr>
        <w:t>výzkumu, experimentálního vývoje a inovací THÉTA</w:t>
      </w:r>
      <w:r>
        <w:t>, zejména pak s její Přílohou č. 2.</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612BE318" w14:textId="4C5AEB4C" w:rsidR="00B43605" w:rsidRPr="007663C2" w:rsidRDefault="00EE64BC" w:rsidP="00B43605">
      <w:r>
        <w:t>3.</w:t>
      </w:r>
      <w:r>
        <w:tab/>
        <w:t>Smluvní strany se zavazují zpřístupnit si vzájemně zařízení potřebná k řešení projektu</w:t>
      </w:r>
      <w:r w:rsidR="00B43605">
        <w:t xml:space="preserve">. </w:t>
      </w:r>
      <w:r w:rsidR="00B43605" w:rsidRPr="005221E7">
        <w:t xml:space="preserve">Obecně se předpokládá, že všechny strany si navzájem poskytnou během řešení projektu veškerou podporu v oblasti návrhu, výzkumu </w:t>
      </w:r>
      <w:r w:rsidR="0002707A">
        <w:t xml:space="preserve">a vývoje </w:t>
      </w:r>
      <w:r w:rsidR="00B43605" w:rsidRPr="005221E7">
        <w:t>jednotlivých cílů projektu. Také se předpokládá, že si strany navzájem poskytnou přístup k vybavení, měřícím či testovacím zařízením, materiálovému vybavení či návrhovým prostředkům, které jsou pro druhou stranu nedosažitelné, ať již z hlediska nedostatku erudovanosti či z hlediska finančního, a současně jsou nezbytné pro úspěšné vyřešení cílů projektu</w:t>
      </w:r>
      <w:r w:rsidR="00B43605">
        <w:t>.</w:t>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21A56561" w:rsidR="00EE64BC" w:rsidRDefault="00EE64BC" w:rsidP="0096477A">
      <w:pPr>
        <w:pStyle w:val="Odstavecseseznamem"/>
      </w:pPr>
      <w:r>
        <w:t xml:space="preserve">Příjemce: </w:t>
      </w:r>
      <w:r w:rsidR="0096477A">
        <w:t>Řešitelský tým VUT disponuje přímými znalostmi s aplikací a využitím moderního HW a SW vybavení pro výzkum, vývoj a testování v laboratorních podmínkách v oblasti elektroenergetiky, jako jsou například znalosti z oblasti přesného měření elektrických veličin vč. následné správy a post-</w:t>
      </w:r>
      <w:proofErr w:type="spellStart"/>
      <w:r w:rsidR="0096477A">
        <w:t>processing</w:t>
      </w:r>
      <w:proofErr w:type="spellEnd"/>
      <w:r w:rsidR="0096477A">
        <w:t xml:space="preserve"> měřených dat, nebo simulací (ne)standardních podmínek v AC i DC sítích nebo SW licencemi (např. SINCAL, PSCAD, RSCAD). Významná je také možnost využití infrastruktury výzkumného centra CVVOZE a s tím souvisejícího know-how z oblasti měření, řízení či komplexních simulací a analýz energetických systémů/zařízení a prvků distribučních sítí. </w:t>
      </w:r>
      <w:r w:rsidR="0096477A" w:rsidRPr="0096477A">
        <w:t xml:space="preserve">VUT pro účely testování vývoje zkušebních metod a technik pro ověřování souladu komponent a výrobních jednotek disponuje pracovištěm vybaveným: </w:t>
      </w:r>
      <w:r w:rsidR="0096477A" w:rsidRPr="0096477A">
        <w:lastRenderedPageBreak/>
        <w:t xml:space="preserve">programovatelným čtyř-kvadrantovým zdrojem umělé střídavé sítě </w:t>
      </w:r>
      <w:proofErr w:type="spellStart"/>
      <w:r w:rsidR="0096477A" w:rsidRPr="0096477A">
        <w:t>Regatron</w:t>
      </w:r>
      <w:proofErr w:type="spellEnd"/>
      <w:r w:rsidR="0096477A" w:rsidRPr="0096477A">
        <w:t xml:space="preserve"> TC.ACS o výkonu 50 </w:t>
      </w:r>
      <w:proofErr w:type="spellStart"/>
      <w:r w:rsidR="0096477A" w:rsidRPr="0096477A">
        <w:t>kVA</w:t>
      </w:r>
      <w:proofErr w:type="spellEnd"/>
      <w:r w:rsidR="0096477A" w:rsidRPr="0096477A">
        <w:t xml:space="preserve"> s </w:t>
      </w:r>
      <w:proofErr w:type="spellStart"/>
      <w:r w:rsidR="0096477A" w:rsidRPr="0096477A">
        <w:t>real-time</w:t>
      </w:r>
      <w:proofErr w:type="spellEnd"/>
      <w:r w:rsidR="0096477A" w:rsidRPr="0096477A">
        <w:t xml:space="preserve"> simulátorem RTDS, stejnosměrnými programovatelnými simulátory fotovoltaických polí a baterií (Chroma 62150-1000S a EA PSB 9750-40), (přesnými) síťovými analyzátory a záznamníky (ZES LMG 500, </w:t>
      </w:r>
      <w:proofErr w:type="spellStart"/>
      <w:r w:rsidR="0096477A" w:rsidRPr="0096477A">
        <w:t>Elcom</w:t>
      </w:r>
      <w:proofErr w:type="spellEnd"/>
      <w:r w:rsidR="0096477A" w:rsidRPr="0096477A">
        <w:t xml:space="preserve"> ENA450, </w:t>
      </w:r>
      <w:proofErr w:type="spellStart"/>
      <w:r w:rsidR="0096477A" w:rsidRPr="0096477A">
        <w:t>Hioki</w:t>
      </w:r>
      <w:proofErr w:type="spellEnd"/>
      <w:r w:rsidR="0096477A" w:rsidRPr="0096477A">
        <w:t xml:space="preserve"> 3390, či YOKOGAWA DL850) a řadou síťových a hybridních střídačů a kogenerační jednotkou. Pro účely prototypování řídících a měřicích systémů je uchazeč vybaven instrumentačními platformami </w:t>
      </w:r>
      <w:proofErr w:type="spellStart"/>
      <w:r w:rsidR="0096477A" w:rsidRPr="0096477A">
        <w:t>National</w:t>
      </w:r>
      <w:proofErr w:type="spellEnd"/>
      <w:r w:rsidR="0096477A" w:rsidRPr="0096477A">
        <w:t xml:space="preserve"> Instruments (PXI, USB DAQ, </w:t>
      </w:r>
      <w:proofErr w:type="spellStart"/>
      <w:r w:rsidR="0096477A" w:rsidRPr="0096477A">
        <w:t>cRIO</w:t>
      </w:r>
      <w:proofErr w:type="spellEnd"/>
      <w:r w:rsidR="0096477A" w:rsidRPr="0096477A">
        <w:t>) s velkým portfoliem modulů. Výzkum řešitelského týmu VUT je zaměřen mimo jiné na integraci obnovitelných zdrojů energie a bateriových uložišť do DS. Tým má dlouhodobé zkušenosti s vývojem testovacích systémů (pro funkční zkoušky a zkoušky elektromagnetické odolnosti). Na pracovišti byla vyvinuta a úspěšně nasazena řídicí jednotka pro řízení hybridních měničů STUDER XTM 4000 s podporou velikosti napětí a frekvence</w:t>
      </w:r>
      <w:r w:rsidR="0096477A">
        <w:t>.</w:t>
      </w:r>
    </w:p>
    <w:p w14:paraId="02ED8AEE" w14:textId="612F0949" w:rsidR="00EE64BC" w:rsidRDefault="00EE64BC" w:rsidP="00EE64BC">
      <w:pPr>
        <w:pStyle w:val="Odstavecseseznamem"/>
      </w:pPr>
      <w:r>
        <w:t xml:space="preserve">Další účastník projektu: </w:t>
      </w:r>
      <w:r w:rsidR="0096477A" w:rsidRPr="0096477A">
        <w:t>SZÚ je pracoviště, akreditované v mnoha oblastech</w:t>
      </w:r>
      <w:r w:rsidR="0096477A">
        <w:t xml:space="preserve"> a disponuje </w:t>
      </w:r>
      <w:r w:rsidR="0096477A" w:rsidRPr="0096477A">
        <w:t>řadou odborných pracovníků s velkou zkušeností v oblasti zkušebnictví, certifikace, inspekce a posuzování shody</w:t>
      </w:r>
      <w:r w:rsidR="00AA3E5C">
        <w:t xml:space="preserve"> vč. znalosti </w:t>
      </w:r>
      <w:r w:rsidR="00AA3E5C" w:rsidRPr="00AA3E5C">
        <w:t>zavádění nových technologií pro nové zkušební metody.</w:t>
      </w:r>
      <w:r w:rsidR="0096477A" w:rsidRPr="0096477A">
        <w:t xml:space="preserve"> </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t>Práva k výsledkům a využití výsledků</w:t>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72818F04" w14:textId="77777777" w:rsidR="00DE1E9B" w:rsidRDefault="00EE64BC" w:rsidP="009905C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7D67FA7D" w14:textId="5701936D" w:rsidR="009905CC" w:rsidRDefault="009905CC" w:rsidP="009905CC">
      <w:pPr>
        <w:pStyle w:val="Odstavecseseznamem"/>
        <w:numPr>
          <w:ilvl w:val="0"/>
          <w:numId w:val="2"/>
        </w:numPr>
        <w:tabs>
          <w:tab w:val="clear" w:pos="425"/>
        </w:tabs>
      </w:pPr>
      <w:r>
        <w:t xml:space="preserve">Rozdělení práv duševního vlastnictví k plánovaným výsledkům se, vzhledem k rozdělení projektových prací, předpokládá následovně: </w:t>
      </w:r>
    </w:p>
    <w:p w14:paraId="19019B8D" w14:textId="77777777" w:rsidR="009905CC" w:rsidRDefault="009905CC" w:rsidP="00115EB1">
      <w:pPr>
        <w:pStyle w:val="Odstavecseseznamem"/>
        <w:numPr>
          <w:ilvl w:val="1"/>
          <w:numId w:val="8"/>
        </w:numPr>
      </w:pPr>
      <w:r>
        <w:t>Výsledek TK04010060-V1 - příjemce 60 % a další účastník 40%,</w:t>
      </w:r>
    </w:p>
    <w:p w14:paraId="6DB939BA" w14:textId="77777777" w:rsidR="009905CC" w:rsidRDefault="009905CC" w:rsidP="00115EB1">
      <w:pPr>
        <w:pStyle w:val="Odstavecseseznamem"/>
        <w:numPr>
          <w:ilvl w:val="1"/>
          <w:numId w:val="8"/>
        </w:numPr>
      </w:pPr>
      <w:r>
        <w:t xml:space="preserve">Výsledek TK04010060-V2 - příjemce 80 % a další účastník 20%. </w:t>
      </w:r>
    </w:p>
    <w:p w14:paraId="614463F3" w14:textId="510F1F41" w:rsidR="00EE64BC" w:rsidRDefault="009905CC" w:rsidP="009905CC">
      <w:pPr>
        <w:pStyle w:val="Odstavecseseznamem"/>
        <w:numPr>
          <w:ilvl w:val="0"/>
          <w:numId w:val="2"/>
        </w:numPr>
        <w:tabs>
          <w:tab w:val="clear" w:pos="425"/>
        </w:tabs>
      </w:pPr>
      <w:r>
        <w:t xml:space="preserve"> Smluvní strany konstatují, že rozdělení práv k výsledkům uvedené v tomto článku odpovídá plánovanému rozdělení projektových prací a nákladů na řešení projektu. Dojde-li ke změně okolností při řešení projektu, mohou smluvní strany upravit vlastnictví výsledků odlišně, a to nejpozději v rámci smlouvy o využití výsledků uzavírané na konci projektu.  </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ům vytvořily implementační plán</w:t>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4C080B6A" w14:textId="50B6125F" w:rsidR="007F008B" w:rsidRDefault="003042BB" w:rsidP="00EE64BC">
      <w:r>
        <w:t>1.</w:t>
      </w:r>
      <w:r w:rsidR="00EE64BC">
        <w:tab/>
      </w:r>
      <w:r w:rsidR="007F008B" w:rsidRPr="007F008B">
        <w:t>Pokud další účastník projektu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5D9B7611" w14:textId="19AA974B" w:rsidR="00EE64BC" w:rsidRDefault="007F008B" w:rsidP="00EE64BC">
      <w:r>
        <w:t>2.</w:t>
      </w:r>
      <w:r>
        <w:tab/>
      </w:r>
      <w:r w:rsidR="00EE64BC">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6DD34DC2"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7420F720" w:rsidR="00EE64BC" w:rsidRDefault="00DA5670" w:rsidP="00EE64BC">
      <w:r>
        <w:t>8</w:t>
      </w:r>
      <w:r w:rsidR="00EE64BC">
        <w:t>.</w:t>
      </w:r>
      <w:r w:rsidR="00EE64BC">
        <w:tab/>
      </w:r>
      <w:r w:rsidR="00115EB1" w:rsidRPr="00115EB1">
        <w:t xml:space="preserve">Pokud budeme podepisovat elektronicky, nahraďte prosím označený odstavec textem „Smlouva je vyhotovena v elektronické podobě podepsané každou stranou minimálně zaručeným elektronickým podpisem dle Nařízení </w:t>
      </w:r>
      <w:proofErr w:type="spellStart"/>
      <w:r w:rsidR="00115EB1" w:rsidRPr="00115EB1">
        <w:t>eIDAS</w:t>
      </w:r>
      <w:proofErr w:type="spellEnd"/>
      <w:r w:rsidR="00115EB1" w:rsidRPr="00115EB1">
        <w:t>. VUT zajistí rozeslání kopií této elektronické podoby stranám a poskytovateli dotace.</w:t>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w:t>
      </w:r>
      <w:bookmarkStart w:id="0" w:name="_GoBack"/>
      <w:bookmarkEnd w:id="0"/>
      <w:r w:rsidR="00EE64BC" w:rsidRPr="00CC485F">
        <w:t>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364BB43A" w:rsidR="005A209D" w:rsidRPr="00CC485F" w:rsidRDefault="00C65CD7" w:rsidP="00AA626C">
      <w:pPr>
        <w:tabs>
          <w:tab w:val="left" w:pos="5670"/>
        </w:tabs>
      </w:pPr>
      <w:r w:rsidRPr="00CC485F">
        <w:t>V </w:t>
      </w:r>
      <w:r w:rsidRPr="00AB30DD">
        <w:t xml:space="preserve">Brně </w:t>
      </w:r>
      <w:r w:rsidR="005A209D" w:rsidRPr="00AB30DD">
        <w:t>dne</w:t>
      </w:r>
      <w:r w:rsidR="005A209D" w:rsidRPr="00CC485F">
        <w:t xml:space="preserve"> ___________</w:t>
      </w:r>
      <w:r w:rsidR="005A209D" w:rsidRPr="00CC485F">
        <w:tab/>
      </w:r>
      <w:r w:rsidR="00AB30DD" w:rsidRPr="00CC485F">
        <w:t>V </w:t>
      </w:r>
      <w:r w:rsidR="00AB30DD" w:rsidRPr="00115EB1">
        <w:t>Brně</w:t>
      </w:r>
      <w:r w:rsidR="00AB30DD" w:rsidRPr="00CC485F">
        <w:t xml:space="preserve"> dne ___________</w:t>
      </w:r>
    </w:p>
    <w:p w14:paraId="25D3E3C5" w14:textId="77777777" w:rsidR="005A209D" w:rsidRDefault="005A209D" w:rsidP="00AA626C">
      <w:pPr>
        <w:tabs>
          <w:tab w:val="left" w:pos="5670"/>
        </w:tabs>
      </w:pPr>
    </w:p>
    <w:p w14:paraId="4CD5B750" w14:textId="36429A0B" w:rsidR="005A209D" w:rsidRDefault="005A209D" w:rsidP="00AA626C">
      <w:pPr>
        <w:tabs>
          <w:tab w:val="left" w:pos="5670"/>
        </w:tabs>
      </w:pPr>
    </w:p>
    <w:p w14:paraId="341C6B64" w14:textId="4150BB89" w:rsidR="00115EB1" w:rsidRDefault="00115EB1" w:rsidP="00AA626C">
      <w:pPr>
        <w:tabs>
          <w:tab w:val="left" w:pos="5670"/>
        </w:tabs>
      </w:pPr>
    </w:p>
    <w:p w14:paraId="5137594D" w14:textId="5369B357" w:rsidR="00115EB1" w:rsidRDefault="00115EB1" w:rsidP="00AA626C">
      <w:pPr>
        <w:tabs>
          <w:tab w:val="left" w:pos="5670"/>
        </w:tabs>
      </w:pPr>
    </w:p>
    <w:p w14:paraId="1911FEAE" w14:textId="77777777" w:rsidR="00115EB1" w:rsidRPr="00CC485F" w:rsidRDefault="00115EB1" w:rsidP="00AA626C">
      <w:pPr>
        <w:tabs>
          <w:tab w:val="left" w:pos="5670"/>
        </w:tabs>
      </w:pPr>
    </w:p>
    <w:p w14:paraId="3DE64983" w14:textId="3AE310F2" w:rsidR="005A209D" w:rsidRPr="00CC485F"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proofErr w:type="spellStart"/>
      <w:r w:rsidR="00C9157F">
        <w:t>xxx</w:t>
      </w:r>
      <w:proofErr w:type="spellEnd"/>
      <w:r w:rsidR="005A209D" w:rsidRPr="00EE64BC">
        <w:tab/>
      </w:r>
      <w:proofErr w:type="spellStart"/>
      <w:r w:rsidR="00C9157F">
        <w:t>xxxxx</w:t>
      </w:r>
      <w:proofErr w:type="spellEnd"/>
      <w:r w:rsidR="005A209D" w:rsidRPr="00EE64BC">
        <w:br/>
      </w:r>
      <w:r w:rsidR="00213A30">
        <w:t>rektor</w:t>
      </w:r>
      <w:r w:rsidR="005A209D" w:rsidRPr="00EE64BC">
        <w:tab/>
      </w:r>
      <w:r w:rsidR="00A80847">
        <w:t>ředitel</w:t>
      </w:r>
      <w:r w:rsidR="005A209D" w:rsidRPr="00EE64BC">
        <w:br/>
        <w:t xml:space="preserve">za </w:t>
      </w:r>
      <w:r w:rsidR="00EE64BC" w:rsidRPr="00EE64BC">
        <w:t>příjemce</w:t>
      </w:r>
      <w:r w:rsidR="005A209D" w:rsidRPr="00EE64BC">
        <w:tab/>
        <w:t xml:space="preserve">za </w:t>
      </w:r>
      <w:r w:rsidR="00EE64BC" w:rsidRPr="00EE64BC">
        <w:t>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8"/>
      <w:footerReference w:type="even" r:id="rId9"/>
      <w:footerReference w:type="default" r:id="rId10"/>
      <w:pgSz w:w="11900" w:h="16840"/>
      <w:pgMar w:top="1417" w:right="1417" w:bottom="1417" w:left="1417" w:header="992" w:footer="70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545151" w16cex:dateUtc="2017-10-12T11:23:00Z"/>
  <w16cex:commentExtensible w16cex:durableId="22545152" w16cex:dateUtc="2017-10-12T11:22:00Z"/>
  <w16cex:commentExtensible w16cex:durableId="2533B65B" w16cex:dateUtc="2017-10-12T11:22:00Z"/>
  <w16cex:commentExtensible w16cex:durableId="22FB22C9" w16cex:dateUtc="2020-09-03T06:07:00Z"/>
  <w16cex:commentExtensible w16cex:durableId="22545153" w16cex:dateUtc="2019-09-19T05:38:00Z"/>
  <w16cex:commentExtensible w16cex:durableId="22545154" w16cex:dateUtc="2019-09-19T05:57:00Z"/>
  <w16cex:commentExtensible w16cex:durableId="23CF71F2" w16cex:dateUtc="2021-02-11T08:05:00Z"/>
  <w16cex:commentExtensible w16cex:durableId="22545155" w16cex:dateUtc="2019-09-19T05:40:00Z"/>
  <w16cex:commentExtensible w16cex:durableId="23CF72B6" w16cex:dateUtc="2021-02-11T08:09:00Z"/>
  <w16cex:commentExtensible w16cex:durableId="22545156" w16cex:dateUtc="2019-09-19T05:45:00Z"/>
  <w16cex:commentExtensible w16cex:durableId="22545157" w16cex:dateUtc="2017-10-12T11:22:00Z"/>
  <w16cex:commentExtensible w16cex:durableId="22545158" w16cex:dateUtc="2017-10-12T11:22:00Z"/>
  <w16cex:commentExtensible w16cex:durableId="22545159" w16cex:dateUtc="2017-10-12T11:22:00Z"/>
  <w16cex:commentExtensible w16cex:durableId="2254515A" w16cex:dateUtc="2019-09-19T05:51:00Z"/>
  <w16cex:commentExtensible w16cex:durableId="2254515B" w16cex:dateUtc="2017-11-20T12:18:00Z"/>
  <w16cex:commentExtensible w16cex:durableId="23CF740F" w16cex:dateUtc="2021-02-11T08:14:00Z"/>
  <w16cex:commentExtensible w16cex:durableId="2533B291" w16cex:dateUtc="2021-11-08T13:28:00Z"/>
  <w16cex:commentExtensible w16cex:durableId="254F22D6" w16cex:dateUtc="2021-11-29T08:58:00Z"/>
  <w16cex:commentExtensible w16cex:durableId="2254515D" w16cex:dateUtc="2017-10-12T11:21:00Z"/>
  <w16cex:commentExtensible w16cex:durableId="2254515E" w16cex:dateUtc="2017-10-12T11:21:00Z"/>
  <w16cex:commentExtensible w16cex:durableId="2254515F" w16cex:dateUtc="2017-10-12T11:21:00Z"/>
  <w16cex:commentExtensible w16cex:durableId="22545160" w16cex:dateUtc="2019-09-19T06:06:00Z"/>
  <w16cex:commentExtensible w16cex:durableId="23CF731D" w16cex:dateUtc="2021-02-11T08:10:00Z"/>
  <w16cex:commentExtensible w16cex:durableId="22545161" w16cex:dateUtc="2017-10-12T11:15:00Z"/>
  <w16cex:commentExtensible w16cex:durableId="22545162" w16cex:dateUtc="2017-10-12T11:21:00Z"/>
  <w16cex:commentExtensible w16cex:durableId="22545163" w16cex:dateUtc="2018-06-13T08:15:00Z"/>
  <w16cex:commentExtensible w16cex:durableId="23CF749C" w16cex:dateUtc="2021-02-11T08:17:00Z"/>
  <w16cex:commentExtensible w16cex:durableId="2533BBE1" w16cex:dateUtc="2021-11-08T14:08:00Z"/>
  <w16cex:commentExtensible w16cex:durableId="2538FB7E" w16cex:dateUtc="2021-11-12T11:3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2DB3" w14:textId="77777777" w:rsidR="00006E66" w:rsidRDefault="00006E66" w:rsidP="006522BB">
      <w:r>
        <w:separator/>
      </w:r>
    </w:p>
    <w:p w14:paraId="18AF00D9" w14:textId="77777777" w:rsidR="00006E66" w:rsidRDefault="00006E66" w:rsidP="006522BB"/>
  </w:endnote>
  <w:endnote w:type="continuationSeparator" w:id="0">
    <w:p w14:paraId="48C95781" w14:textId="77777777" w:rsidR="00006E66" w:rsidRDefault="00006E66" w:rsidP="006522BB">
      <w:r>
        <w:continuationSeparator/>
      </w:r>
    </w:p>
    <w:p w14:paraId="6F2ECB59" w14:textId="77777777" w:rsidR="00006E66" w:rsidRDefault="00006E66"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0FEA6923" w:rsidR="00824688" w:rsidRPr="00CC047C" w:rsidRDefault="00D302A8" w:rsidP="00A154EE">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C9157F">
      <w:rPr>
        <w:rStyle w:val="slostrnky"/>
        <w:noProof/>
        <w:sz w:val="18"/>
        <w:szCs w:val="18"/>
      </w:rPr>
      <w:t>7</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C9157F">
      <w:rPr>
        <w:rStyle w:val="slostrnky"/>
        <w:noProof/>
        <w:sz w:val="18"/>
        <w:szCs w:val="18"/>
      </w:rPr>
      <w:t>9</w:t>
    </w:r>
    <w:r w:rsidRPr="00CC047C">
      <w:rPr>
        <w:rStyle w:val="slostrnky"/>
        <w:sz w:val="18"/>
        <w:szCs w:val="18"/>
      </w:rPr>
      <w:fldChar w:fldCharType="end"/>
    </w:r>
    <w:r w:rsidRPr="00CC047C">
      <w:rPr>
        <w:rStyle w:val="slostrnky"/>
        <w:sz w:val="18"/>
        <w:szCs w:val="18"/>
      </w:rPr>
      <w:t>)</w:t>
    </w:r>
    <w:r w:rsidR="00A154EE">
      <w:rPr>
        <w:rStyle w:val="slostrnky"/>
        <w:sz w:val="18"/>
        <w:szCs w:val="18"/>
      </w:rPr>
      <w:t xml:space="preserve"> - </w:t>
    </w:r>
    <w:r w:rsidR="00A154EE" w:rsidRPr="00A154EE">
      <w:rPr>
        <w:rStyle w:val="slostrnky"/>
        <w:rFonts w:cstheme="minorHAnsi"/>
        <w:sz w:val="20"/>
        <w:szCs w:val="20"/>
      </w:rPr>
      <w:t>SMLOUVA O ÚČASTI NA ŘEŠENÍ PROJEKTU</w:t>
    </w:r>
    <w:r w:rsidR="00A154EE">
      <w:rPr>
        <w:rStyle w:val="slostrnky"/>
        <w:rFonts w:cstheme="minorHAnsi"/>
        <w:sz w:val="20"/>
        <w:szCs w:val="20"/>
      </w:rPr>
      <w:t xml:space="preserve"> </w:t>
    </w:r>
    <w:r w:rsidR="00A154EE" w:rsidRPr="00A154EE">
      <w:rPr>
        <w:rStyle w:val="slostrnky"/>
        <w:rFonts w:cstheme="minorHAnsi"/>
        <w:sz w:val="20"/>
        <w:szCs w:val="20"/>
      </w:rPr>
      <w:t>A O VYUŽITÍ VÝSLEDKŮ</w:t>
    </w:r>
    <w:r w:rsidR="00A154EE" w:rsidRPr="00906187">
      <w:rPr>
        <w:rStyle w:val="slostrnky"/>
        <w:rFonts w:cstheme="minorHAnsi"/>
        <w:sz w:val="20"/>
        <w:szCs w:val="20"/>
      </w:rPr>
      <w:t xml:space="preserve"> - Projekt </w:t>
    </w:r>
    <w:r w:rsidR="00A154EE" w:rsidRPr="00A154EE">
      <w:rPr>
        <w:rFonts w:cstheme="minorHAnsi"/>
        <w:sz w:val="20"/>
        <w:szCs w:val="20"/>
      </w:rPr>
      <w:t>TK04010060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9964" w14:textId="77777777" w:rsidR="00006E66" w:rsidRDefault="00006E66" w:rsidP="006522BB">
      <w:r>
        <w:separator/>
      </w:r>
    </w:p>
    <w:p w14:paraId="7FBF7E0C" w14:textId="77777777" w:rsidR="00006E66" w:rsidRDefault="00006E66" w:rsidP="006522BB"/>
  </w:footnote>
  <w:footnote w:type="continuationSeparator" w:id="0">
    <w:p w14:paraId="4EA68D07" w14:textId="77777777" w:rsidR="00006E66" w:rsidRDefault="00006E66" w:rsidP="006522BB">
      <w:r>
        <w:continuationSeparator/>
      </w:r>
    </w:p>
    <w:p w14:paraId="667D285F" w14:textId="77777777" w:rsidR="00006E66" w:rsidRDefault="00006E66" w:rsidP="006522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65A92"/>
    <w:multiLevelType w:val="hybridMultilevel"/>
    <w:tmpl w:val="A3B8600A"/>
    <w:lvl w:ilvl="0" w:tplc="A274A8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06E66"/>
    <w:rsid w:val="00012CEA"/>
    <w:rsid w:val="00022086"/>
    <w:rsid w:val="0002707A"/>
    <w:rsid w:val="0007065E"/>
    <w:rsid w:val="000840BB"/>
    <w:rsid w:val="000A00ED"/>
    <w:rsid w:val="000A2CE7"/>
    <w:rsid w:val="000C6471"/>
    <w:rsid w:val="000C70EE"/>
    <w:rsid w:val="000E2EE3"/>
    <w:rsid w:val="001058A0"/>
    <w:rsid w:val="00105CA0"/>
    <w:rsid w:val="0010720C"/>
    <w:rsid w:val="00111963"/>
    <w:rsid w:val="00115EB1"/>
    <w:rsid w:val="00120A6B"/>
    <w:rsid w:val="00122BBD"/>
    <w:rsid w:val="00126B7F"/>
    <w:rsid w:val="0013442F"/>
    <w:rsid w:val="00140E58"/>
    <w:rsid w:val="00147AA5"/>
    <w:rsid w:val="00150155"/>
    <w:rsid w:val="00155579"/>
    <w:rsid w:val="00182900"/>
    <w:rsid w:val="001846A7"/>
    <w:rsid w:val="00185F9A"/>
    <w:rsid w:val="001A2DC8"/>
    <w:rsid w:val="001C3992"/>
    <w:rsid w:val="001E680B"/>
    <w:rsid w:val="00201242"/>
    <w:rsid w:val="00202665"/>
    <w:rsid w:val="00213A30"/>
    <w:rsid w:val="00217A1A"/>
    <w:rsid w:val="0022523A"/>
    <w:rsid w:val="00241F78"/>
    <w:rsid w:val="00263CA8"/>
    <w:rsid w:val="00271679"/>
    <w:rsid w:val="00287BB6"/>
    <w:rsid w:val="002A0213"/>
    <w:rsid w:val="002A11CA"/>
    <w:rsid w:val="002A16D1"/>
    <w:rsid w:val="002A67D3"/>
    <w:rsid w:val="003042BB"/>
    <w:rsid w:val="003237F5"/>
    <w:rsid w:val="00332DD6"/>
    <w:rsid w:val="00342A93"/>
    <w:rsid w:val="003453AD"/>
    <w:rsid w:val="00365C43"/>
    <w:rsid w:val="0038683A"/>
    <w:rsid w:val="00395AEA"/>
    <w:rsid w:val="00397741"/>
    <w:rsid w:val="003A3579"/>
    <w:rsid w:val="003D20E2"/>
    <w:rsid w:val="003D5028"/>
    <w:rsid w:val="003E150F"/>
    <w:rsid w:val="003E2AC0"/>
    <w:rsid w:val="00404B46"/>
    <w:rsid w:val="0040550D"/>
    <w:rsid w:val="00423B33"/>
    <w:rsid w:val="00424A37"/>
    <w:rsid w:val="00452B71"/>
    <w:rsid w:val="004566BE"/>
    <w:rsid w:val="00477AB1"/>
    <w:rsid w:val="00497963"/>
    <w:rsid w:val="004B2F54"/>
    <w:rsid w:val="004B4067"/>
    <w:rsid w:val="004B5D1D"/>
    <w:rsid w:val="004B7308"/>
    <w:rsid w:val="004F3E47"/>
    <w:rsid w:val="004F5A39"/>
    <w:rsid w:val="004F726C"/>
    <w:rsid w:val="0056216E"/>
    <w:rsid w:val="005637B7"/>
    <w:rsid w:val="00573204"/>
    <w:rsid w:val="00585507"/>
    <w:rsid w:val="005904F3"/>
    <w:rsid w:val="00590AB3"/>
    <w:rsid w:val="0059200B"/>
    <w:rsid w:val="005A209D"/>
    <w:rsid w:val="005A7E3C"/>
    <w:rsid w:val="005B00CE"/>
    <w:rsid w:val="005D0DC1"/>
    <w:rsid w:val="005F6578"/>
    <w:rsid w:val="00605E46"/>
    <w:rsid w:val="00612130"/>
    <w:rsid w:val="00612F2D"/>
    <w:rsid w:val="006239A0"/>
    <w:rsid w:val="00640009"/>
    <w:rsid w:val="00643AA9"/>
    <w:rsid w:val="006522BB"/>
    <w:rsid w:val="00674BDA"/>
    <w:rsid w:val="006769C9"/>
    <w:rsid w:val="00681CE9"/>
    <w:rsid w:val="006946FB"/>
    <w:rsid w:val="006957B6"/>
    <w:rsid w:val="006A5D63"/>
    <w:rsid w:val="006B1C9F"/>
    <w:rsid w:val="006C55E3"/>
    <w:rsid w:val="006D51CB"/>
    <w:rsid w:val="006F277F"/>
    <w:rsid w:val="006F5909"/>
    <w:rsid w:val="00710C35"/>
    <w:rsid w:val="00735A48"/>
    <w:rsid w:val="00756A88"/>
    <w:rsid w:val="00764C3D"/>
    <w:rsid w:val="00765DA2"/>
    <w:rsid w:val="007826D3"/>
    <w:rsid w:val="007932D0"/>
    <w:rsid w:val="007955E4"/>
    <w:rsid w:val="007B785C"/>
    <w:rsid w:val="007C11C0"/>
    <w:rsid w:val="007C724D"/>
    <w:rsid w:val="007E5F30"/>
    <w:rsid w:val="007F008B"/>
    <w:rsid w:val="007F385F"/>
    <w:rsid w:val="00800606"/>
    <w:rsid w:val="008063AA"/>
    <w:rsid w:val="00824688"/>
    <w:rsid w:val="00842458"/>
    <w:rsid w:val="008478B4"/>
    <w:rsid w:val="008516B3"/>
    <w:rsid w:val="00862D80"/>
    <w:rsid w:val="008630B7"/>
    <w:rsid w:val="00864024"/>
    <w:rsid w:val="0088092C"/>
    <w:rsid w:val="00894781"/>
    <w:rsid w:val="008964CA"/>
    <w:rsid w:val="008A097D"/>
    <w:rsid w:val="008A4CA6"/>
    <w:rsid w:val="008A57E4"/>
    <w:rsid w:val="008B58B6"/>
    <w:rsid w:val="008C45E6"/>
    <w:rsid w:val="008C5CB7"/>
    <w:rsid w:val="008C71E5"/>
    <w:rsid w:val="008D59DE"/>
    <w:rsid w:val="008E082D"/>
    <w:rsid w:val="008E1F78"/>
    <w:rsid w:val="008F6AE1"/>
    <w:rsid w:val="00911BE5"/>
    <w:rsid w:val="009206D0"/>
    <w:rsid w:val="009239A6"/>
    <w:rsid w:val="00944E26"/>
    <w:rsid w:val="0096477A"/>
    <w:rsid w:val="00987F11"/>
    <w:rsid w:val="009905CC"/>
    <w:rsid w:val="00997228"/>
    <w:rsid w:val="009A2266"/>
    <w:rsid w:val="009C6EEA"/>
    <w:rsid w:val="009D184C"/>
    <w:rsid w:val="009F0540"/>
    <w:rsid w:val="00A00770"/>
    <w:rsid w:val="00A056DE"/>
    <w:rsid w:val="00A05BCC"/>
    <w:rsid w:val="00A06CBD"/>
    <w:rsid w:val="00A07FF9"/>
    <w:rsid w:val="00A109DB"/>
    <w:rsid w:val="00A154EE"/>
    <w:rsid w:val="00A24505"/>
    <w:rsid w:val="00A24F12"/>
    <w:rsid w:val="00A36C68"/>
    <w:rsid w:val="00A4176E"/>
    <w:rsid w:val="00A56689"/>
    <w:rsid w:val="00A712A0"/>
    <w:rsid w:val="00A72E20"/>
    <w:rsid w:val="00A80847"/>
    <w:rsid w:val="00A907E2"/>
    <w:rsid w:val="00A93A8D"/>
    <w:rsid w:val="00A965B4"/>
    <w:rsid w:val="00AA0C09"/>
    <w:rsid w:val="00AA3E5C"/>
    <w:rsid w:val="00AA626C"/>
    <w:rsid w:val="00AB30DD"/>
    <w:rsid w:val="00AB3329"/>
    <w:rsid w:val="00AC2325"/>
    <w:rsid w:val="00AC5970"/>
    <w:rsid w:val="00AE6554"/>
    <w:rsid w:val="00B216C9"/>
    <w:rsid w:val="00B30B4A"/>
    <w:rsid w:val="00B35878"/>
    <w:rsid w:val="00B41345"/>
    <w:rsid w:val="00B43605"/>
    <w:rsid w:val="00B45FB2"/>
    <w:rsid w:val="00B53FAC"/>
    <w:rsid w:val="00B70AD4"/>
    <w:rsid w:val="00B71B20"/>
    <w:rsid w:val="00B84E26"/>
    <w:rsid w:val="00B84EF9"/>
    <w:rsid w:val="00B8576C"/>
    <w:rsid w:val="00BB59C2"/>
    <w:rsid w:val="00BC1CD8"/>
    <w:rsid w:val="00BD369B"/>
    <w:rsid w:val="00BD7A40"/>
    <w:rsid w:val="00BE2AF1"/>
    <w:rsid w:val="00BE3C8E"/>
    <w:rsid w:val="00BF7164"/>
    <w:rsid w:val="00C10500"/>
    <w:rsid w:val="00C122C9"/>
    <w:rsid w:val="00C22221"/>
    <w:rsid w:val="00C3241B"/>
    <w:rsid w:val="00C428A0"/>
    <w:rsid w:val="00C46A1A"/>
    <w:rsid w:val="00C553A9"/>
    <w:rsid w:val="00C65CD7"/>
    <w:rsid w:val="00C9157F"/>
    <w:rsid w:val="00C923E9"/>
    <w:rsid w:val="00C941F7"/>
    <w:rsid w:val="00CB740A"/>
    <w:rsid w:val="00CC047C"/>
    <w:rsid w:val="00CC485F"/>
    <w:rsid w:val="00CE7A16"/>
    <w:rsid w:val="00CF4B06"/>
    <w:rsid w:val="00CF5AD4"/>
    <w:rsid w:val="00D01812"/>
    <w:rsid w:val="00D04F4B"/>
    <w:rsid w:val="00D302A8"/>
    <w:rsid w:val="00D33C52"/>
    <w:rsid w:val="00D41D47"/>
    <w:rsid w:val="00D567EB"/>
    <w:rsid w:val="00D77DD2"/>
    <w:rsid w:val="00D858A1"/>
    <w:rsid w:val="00D94F4B"/>
    <w:rsid w:val="00DA5670"/>
    <w:rsid w:val="00DC18EB"/>
    <w:rsid w:val="00DD1A09"/>
    <w:rsid w:val="00DD49DA"/>
    <w:rsid w:val="00DD4F56"/>
    <w:rsid w:val="00DE1E9B"/>
    <w:rsid w:val="00DE374E"/>
    <w:rsid w:val="00DE46F8"/>
    <w:rsid w:val="00DF1ED8"/>
    <w:rsid w:val="00E00ADE"/>
    <w:rsid w:val="00E132EA"/>
    <w:rsid w:val="00E14FF5"/>
    <w:rsid w:val="00E54D11"/>
    <w:rsid w:val="00E64A43"/>
    <w:rsid w:val="00E764B8"/>
    <w:rsid w:val="00ED41EF"/>
    <w:rsid w:val="00EE64BC"/>
    <w:rsid w:val="00F04ADD"/>
    <w:rsid w:val="00F10AFC"/>
    <w:rsid w:val="00F126CF"/>
    <w:rsid w:val="00F20125"/>
    <w:rsid w:val="00F31474"/>
    <w:rsid w:val="00F41827"/>
    <w:rsid w:val="00F42874"/>
    <w:rsid w:val="00F434FE"/>
    <w:rsid w:val="00F679EA"/>
    <w:rsid w:val="00F905FE"/>
    <w:rsid w:val="00FA6F5B"/>
    <w:rsid w:val="00FA72B8"/>
    <w:rsid w:val="00FA77D0"/>
    <w:rsid w:val="00FC2658"/>
    <w:rsid w:val="00FC76E7"/>
    <w:rsid w:val="00FD2E3F"/>
    <w:rsid w:val="00FE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character" w:customStyle="1" w:styleId="markedcontent">
    <w:name w:val="markedcontent"/>
    <w:basedOn w:val="Standardnpsmoodstavce"/>
    <w:rsid w:val="00B216C9"/>
  </w:style>
  <w:style w:type="paragraph" w:styleId="Revize">
    <w:name w:val="Revision"/>
    <w:hidden/>
    <w:uiPriority w:val="99"/>
    <w:semiHidden/>
    <w:rsid w:val="0010720C"/>
    <w:pPr>
      <w:spacing w:after="0" w:line="240" w:lineRule="auto"/>
    </w:pPr>
    <w:rPr>
      <w:rFonts w:eastAsia="Cambr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DDBCFFC-E19B-48F3-B7DF-C87478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3858</Words>
  <Characters>22767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ueen</cp:lastModifiedBy>
  <cp:revision>3</cp:revision>
  <cp:lastPrinted>2021-11-08T13:59:00Z</cp:lastPrinted>
  <dcterms:created xsi:type="dcterms:W3CDTF">2021-12-06T14:02:00Z</dcterms:created>
  <dcterms:modified xsi:type="dcterms:W3CDTF">2021-12-06T14:18:00Z</dcterms:modified>
</cp:coreProperties>
</file>