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3279775</wp:posOffset>
            </wp:positionH>
            <wp:positionV relativeFrom="margin">
              <wp:posOffset>0</wp:posOffset>
            </wp:positionV>
            <wp:extent cx="1487170" cy="84137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604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2240" w:h="15840"/>
          <w:pgMar w:top="422" w:left="1147" w:right="710" w:bottom="701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422" w:left="0" w:right="0" w:bottom="1124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  <w:bookmarkEnd w:id="0"/>
      <w:bookmarkEnd w:id="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ke smlouvě o dílo II/353 Rudolec - hr. okresu JI, ze dne 31. 8. 2021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smlouvy objednatele: P-ST-29-2021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smlouvy zhotovitele: 76 0701 27531 5 2123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</w:p>
    <w:tbl>
      <w:tblPr>
        <w:tblOverlap w:val="never"/>
        <w:jc w:val="left"/>
        <w:tblLayout w:type="fixed"/>
      </w:tblPr>
      <w:tblGrid>
        <w:gridCol w:w="2030"/>
        <w:gridCol w:w="6432"/>
      </w:tblGrid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58601 Jihlava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pověřená jednat jménem objednatele ve věcech smluvních: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030"/>
        <w:gridCol w:w="6427"/>
      </w:tblGrid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47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)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widowControl w:val="0"/>
        <w:spacing w:after="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030"/>
        <w:gridCol w:w="6427"/>
      </w:tblGrid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Skanska a.s.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Křižíkova 682/34a, 186 00 Praha 8, Karlín</w:t>
            </w:r>
          </w:p>
        </w:tc>
      </w:tr>
      <w:tr>
        <w:trPr>
          <w:trHeight w:val="58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Františkem Kincem, oblastním manažerem a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Ivem Zemánkem, vedoucím přípravářem; PM/7159/2020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u Městského soudu v Praze, oddíl B, vložka 15904 Osoba pověřená jednat jménem zhotovitele ve věcech smluvních: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030"/>
        <w:gridCol w:w="6427"/>
      </w:tblGrid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26271303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CZ699004845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také jako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 nebo jednotlivě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487170" cy="841375"/>
            <wp:docPr id="6" name="Picut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5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II.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smluvních podmínek</w:t>
      </w:r>
      <w:bookmarkEnd w:id="2"/>
      <w:bookmarkEnd w:id="3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vzájemně dohodly na změně stávající smlouvy spočívající v úpravě doby plnění.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Doba plnění dle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článku IV.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stávající smlouvy v aktuálním znění se mění tak, že původní ujednání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 bodě 4.1.,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které zní: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řádně a včas provést dílo v těchto termínech plnění: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240" w:lineRule="auto"/>
        <w:ind w:left="0" w:right="0" w:firstLine="66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a)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zahájení realizace stavby: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dnem předání a převzetí staveniště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240" w:lineRule="auto"/>
        <w:ind w:left="1020" w:right="0" w:hanging="36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b)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uvedení celé stavby do užívání ve smyslu čl. XII. obchodních podmínek (dále i „OP“):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 2 měsíců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předání a převzetí staveniště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240" w:lineRule="auto"/>
        <w:ind w:left="6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Pokud takto vypočtený termín přesáhne datum 31. 10. 2021, pak se jako rozhodný a závazný určuje termín plnění do 31. 10. 2021.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60" w:line="240" w:lineRule="auto"/>
        <w:ind w:left="1020" w:right="0" w:hanging="36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c)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dokončení díla vč. předání kompletní dokladové části Objednateli: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 1 měsíce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uvedení celé stavby do užívání dle bodu b).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ruší a nahrazuje ujednáním: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řádně a včas provést dílo v těchto termínech plnění: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240" w:lineRule="auto"/>
        <w:ind w:left="0" w:right="0" w:firstLine="66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a)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zahájení realizace stavby: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dnem předání a převzetí staveniště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240" w:lineRule="auto"/>
        <w:ind w:left="1020" w:right="0" w:hanging="36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b)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uvedení celé stavby do užívání ve smyslu čl. XII. obchodních podmínek (dále i „OP“): do 10 dní od vzniku vhodných klimatických podmínek pro provádění druhé vrstvy emulzního mikrokoberce v souladu s ČSN 73 6130 odst. 7.2 spočívající v minimální teplotě ovzduší + 10 °C, teplotní tendenci stabilní nebo stoupající a v absenci souvislého vodního filmu na povrchu podkladu (déšť)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700" w:line="240" w:lineRule="auto"/>
        <w:ind w:left="1020" w:right="0" w:hanging="36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c)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dokončení díla vč. předání kompletní dokladové části Objednateli: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 1 měsíce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uvedení celé stavby do užívání dle bodu b).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III.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</w:t>
      </w:r>
      <w:bookmarkEnd w:id="4"/>
      <w:bookmarkEnd w:id="5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3.1.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shora citované smlouvy v aktuálním znění se nemění a zůstávají v platnosti.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nedílnou součástí smlouvy v aktuálním znění.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vyhotoven v elektronické podobě, přičemž obě smluvní strany obdrží jeho elektronický originál.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platný dnem připojení platného uznávaného elektronického podpisu dle zákona č. 297/2016 Sb., o službách vytvářejících důvěru pro elektronické transakce, ve znění pozdějších předpisů,</w:t>
      </w:r>
      <w:r>
        <w:br w:type="page"/>
      </w:r>
    </w:p>
    <w:p>
      <w:pPr>
        <w:widowControl w:val="0"/>
        <w:spacing w:line="1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3279775</wp:posOffset>
            </wp:positionH>
            <wp:positionV relativeFrom="paragraph">
              <wp:posOffset>0</wp:posOffset>
            </wp:positionV>
            <wp:extent cx="1487170" cy="841375"/>
            <wp:wrapTopAndBottom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účinný dnem jeho uveřejnění v registru smluv.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podléhá zveřejnění dle zákona č. 340/2015 Sb., o zvláštních podmínkách účinnosti některých smluv, uveřejňování těchto smluv a o registru smluv (zákon o registru smluv), v platném a účinném znění.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after="5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422" w:left="1147" w:right="710" w:bottom="112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422" w:left="0" w:right="0" w:bottom="70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framePr w:w="773" w:h="283" w:wrap="none" w:vAnchor="text" w:hAnchor="page" w:x="188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</w:t>
      </w:r>
    </w:p>
    <w:p>
      <w:pPr>
        <w:pStyle w:val="Style10"/>
        <w:keepNext w:val="0"/>
        <w:keepLines w:val="0"/>
        <w:framePr w:w="768" w:h="283" w:wrap="none" w:vAnchor="text" w:hAnchor="page" w:x="454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</w:t>
      </w:r>
    </w:p>
    <w:p>
      <w:pPr>
        <w:pStyle w:val="Style10"/>
        <w:keepNext w:val="0"/>
        <w:keepLines w:val="0"/>
        <w:framePr w:w="768" w:h="283" w:wrap="none" w:vAnchor="text" w:hAnchor="page" w:x="791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</w:t>
      </w:r>
    </w:p>
    <w:p>
      <w:pPr>
        <w:widowControl w:val="0"/>
        <w:spacing w:after="28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422" w:left="1147" w:right="710" w:bottom="70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6" w:after="8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422" w:left="0" w:right="0" w:bottom="80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1487170</wp:posOffset>
                </wp:positionH>
                <wp:positionV relativeFrom="paragraph">
                  <wp:posOffset>12700</wp:posOffset>
                </wp:positionV>
                <wp:extent cx="926465" cy="17970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6465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oblastní manažer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17.09999999999999pt;margin-top:1.pt;width:72.950000000000003pt;height:14.1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oblastní manažer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3032760</wp:posOffset>
                </wp:positionH>
                <wp:positionV relativeFrom="paragraph">
                  <wp:posOffset>12700</wp:posOffset>
                </wp:positionV>
                <wp:extent cx="951230" cy="179705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1230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vedoucí přípravář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38.80000000000001pt;margin-top:1.pt;width:74.900000000000006pt;height:14.15pt;z-index:-12582937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vedoucí přípravář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organizace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</w:t>
        <w:br/>
        <w:t>příspěvková organizace</w:t>
      </w:r>
    </w:p>
    <w:sectPr>
      <w:footnotePr>
        <w:pos w:val="pageBottom"/>
        <w:numFmt w:val="decimal"/>
        <w:numRestart w:val="continuous"/>
      </w:footnotePr>
      <w:type w:val="continuous"/>
      <w:pgSz w:w="12240" w:h="15840"/>
      <w:pgMar w:top="422" w:left="6274" w:right="711" w:bottom="80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3694430</wp:posOffset>
              </wp:positionH>
              <wp:positionV relativeFrom="page">
                <wp:posOffset>9549130</wp:posOffset>
              </wp:positionV>
              <wp:extent cx="658495" cy="11303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849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0.89999999999998pt;margin-top:751.89999999999998pt;width:51.850000000000001pt;height:8.9000000000000004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737870</wp:posOffset>
              </wp:positionH>
              <wp:positionV relativeFrom="page">
                <wp:posOffset>9506585</wp:posOffset>
              </wp:positionV>
              <wp:extent cx="6574790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747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100000000000001pt;margin-top:748.54999999999995pt;width:51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"/>
      <w:numFmt w:val="decimal"/>
      <w:lvlText w:val="3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Nadpis #1_"/>
    <w:basedOn w:val="DefaultParagraphFont"/>
    <w:link w:val="Style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Základní text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1">
    <w:name w:val="Základní text (2)_"/>
    <w:basedOn w:val="DefaultParagraphFont"/>
    <w:link w:val="Styl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6">
    <w:name w:val="Jiné_"/>
    <w:basedOn w:val="DefaultParagraphFont"/>
    <w:link w:val="Style1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2">
    <w:name w:val="Nadpis #2_"/>
    <w:basedOn w:val="DefaultParagraphFont"/>
    <w:link w:val="Style21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spacing w:after="100"/>
      <w:jc w:val="center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1">
    <w:name w:val="Nadpis #2"/>
    <w:basedOn w:val="Normal"/>
    <w:link w:val="CharStyle22"/>
    <w:pPr>
      <w:widowControl w:val="0"/>
      <w:shd w:val="clear" w:color="auto" w:fill="FFFFFF"/>
      <w:spacing w:after="260"/>
      <w:jc w:val="center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kostelecka</dc:creator>
  <cp:keywords/>
</cp:coreProperties>
</file>