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17C75A92"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F97F31">
        <w:rPr>
          <w:rFonts w:asciiTheme="minorHAnsi" w:hAnsiTheme="minorHAnsi" w:cstheme="minorHAnsi"/>
          <w:color w:val="auto"/>
          <w:sz w:val="28"/>
          <w:szCs w:val="28"/>
        </w:rPr>
        <w:t>00</w:t>
      </w:r>
      <w:r w:rsidR="00022BDD">
        <w:rPr>
          <w:rFonts w:asciiTheme="minorHAnsi" w:hAnsiTheme="minorHAnsi" w:cstheme="minorHAnsi"/>
          <w:color w:val="auto"/>
          <w:sz w:val="28"/>
          <w:szCs w:val="28"/>
        </w:rPr>
        <w:fldChar w:fldCharType="begin"/>
      </w:r>
      <w:r w:rsidR="00022BDD">
        <w:rPr>
          <w:rFonts w:asciiTheme="minorHAnsi" w:hAnsiTheme="minorHAnsi" w:cstheme="minorHAnsi"/>
          <w:color w:val="auto"/>
          <w:sz w:val="28"/>
          <w:szCs w:val="28"/>
        </w:rPr>
        <w:instrText xml:space="preserve"> MERGEFIELD  SMLOUVA_Č  \* MERGEFORMAT </w:instrText>
      </w:r>
      <w:r w:rsidR="00022BDD">
        <w:rPr>
          <w:rFonts w:asciiTheme="minorHAnsi" w:hAnsiTheme="minorHAnsi" w:cstheme="minorHAnsi"/>
          <w:color w:val="auto"/>
          <w:sz w:val="28"/>
          <w:szCs w:val="28"/>
        </w:rPr>
        <w:fldChar w:fldCharType="separate"/>
      </w:r>
      <w:r w:rsidR="00A554A6" w:rsidRPr="00A554A6">
        <w:rPr>
          <w:rFonts w:asciiTheme="minorHAnsi" w:hAnsiTheme="minorHAnsi" w:cstheme="minorHAnsi"/>
          <w:noProof/>
          <w:color w:val="auto"/>
          <w:sz w:val="28"/>
          <w:szCs w:val="28"/>
        </w:rPr>
        <w:t>807</w:t>
      </w:r>
      <w:r w:rsidR="00022BDD">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2D46FB0A"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17197059"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5F7C546"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0DD09E7" w14:textId="77777777" w:rsidR="00AB6B1E" w:rsidRPr="00727F9D" w:rsidRDefault="00AB6B1E" w:rsidP="00AB6B1E">
      <w:pPr>
        <w:spacing w:line="276" w:lineRule="auto"/>
        <w:ind w:firstLine="567"/>
        <w:rPr>
          <w:lang w:val="cs-CZ"/>
        </w:rPr>
      </w:pPr>
      <w:r w:rsidRPr="00727F9D">
        <w:rPr>
          <w:lang w:val="cs-CZ"/>
        </w:rPr>
        <w:t>pověření k podpisu:</w:t>
      </w:r>
      <w:r w:rsidRPr="00727F9D">
        <w:rPr>
          <w:lang w:val="cs-CZ"/>
        </w:rPr>
        <w:tab/>
        <w:t>Ing. David Michalička – st</w:t>
      </w:r>
      <w:r>
        <w:rPr>
          <w:lang w:val="cs-CZ"/>
        </w:rPr>
        <w:t>a</w:t>
      </w:r>
      <w:r w:rsidRPr="00727F9D">
        <w:rPr>
          <w:lang w:val="cs-CZ"/>
        </w:rPr>
        <w:t>rosta</w:t>
      </w:r>
    </w:p>
    <w:p w14:paraId="5AD1B6C3" w14:textId="77777777" w:rsidR="00AB6B1E" w:rsidRPr="00727F9D" w:rsidRDefault="00AB6B1E" w:rsidP="00AB6B1E">
      <w:pPr>
        <w:spacing w:line="276" w:lineRule="auto"/>
        <w:rPr>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Mgr. Adam </w:t>
      </w:r>
      <w:proofErr w:type="spellStart"/>
      <w:r w:rsidRPr="00727F9D">
        <w:rPr>
          <w:lang w:val="cs-CZ"/>
        </w:rPr>
        <w:t>Polánský</w:t>
      </w:r>
      <w:proofErr w:type="spellEnd"/>
      <w:r w:rsidRPr="00727F9D">
        <w:rPr>
          <w:lang w:val="cs-CZ"/>
        </w:rPr>
        <w:t xml:space="preserve"> – člen zastupitelstva </w:t>
      </w:r>
    </w:p>
    <w:p w14:paraId="3A5D3A7F" w14:textId="77777777" w:rsidR="00AB6B1E" w:rsidRPr="00727F9D" w:rsidRDefault="00AB6B1E" w:rsidP="00AB6B1E">
      <w:pPr>
        <w:jc w:val="both"/>
        <w:rPr>
          <w:sz w:val="24"/>
          <w:szCs w:val="20"/>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Ing. Miloslav Šmolík – člen zastupitelstva </w:t>
      </w:r>
    </w:p>
    <w:p w14:paraId="3E098CAC"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F6683AB" w14:textId="77777777" w:rsidR="00E07136" w:rsidRPr="00927EAD" w:rsidRDefault="00E07136" w:rsidP="00E07136">
      <w:pPr>
        <w:widowControl w:val="0"/>
        <w:tabs>
          <w:tab w:val="decimal" w:pos="288"/>
          <w:tab w:val="decimal" w:pos="360"/>
        </w:tabs>
        <w:ind w:left="567" w:right="567"/>
        <w:jc w:val="both"/>
        <w:rPr>
          <w:rFonts w:ascii="Calibri" w:hAnsi="Calibri" w:cstheme="minorHAnsi"/>
          <w:sz w:val="20"/>
          <w:szCs w:val="20"/>
          <w:lang w:val="cs-CZ"/>
        </w:rPr>
      </w:pPr>
    </w:p>
    <w:p w14:paraId="6AD60126"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EF6FA54"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53EE352B" w14:textId="7DA51CE0"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8F0908">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747A857D" w14:textId="77777777" w:rsidR="00E07136"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1B600892" w14:textId="77777777" w:rsidR="00E07136" w:rsidRDefault="00E07136" w:rsidP="00E07136">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4E357BC4"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74D9E6EA"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667CA19B"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5A8DE79B"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468F943C" w:rsidR="00031E03" w:rsidRDefault="00C927C4"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sidR="0065646E">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A554A6" w:rsidRPr="00A57B36">
        <w:rPr>
          <w:rFonts w:ascii="Calibri" w:hAnsi="Calibri" w:cstheme="minorHAnsi"/>
          <w:noProof/>
          <w:sz w:val="20"/>
          <w:szCs w:val="20"/>
          <w:lang w:val="cs-CZ"/>
        </w:rPr>
        <w:t>Jana</w:t>
      </w:r>
      <w:r>
        <w:rPr>
          <w:rFonts w:ascii="Calibri" w:hAnsi="Calibri" w:cstheme="minorHAnsi"/>
          <w:sz w:val="20"/>
          <w:szCs w:val="20"/>
          <w:lang w:val="cs-CZ"/>
        </w:rPr>
        <w:fldChar w:fldCharType="end"/>
      </w:r>
      <w:r w:rsidR="00031E03">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A554A6" w:rsidRPr="00A57B36">
        <w:rPr>
          <w:rFonts w:ascii="Calibri" w:hAnsi="Calibri" w:cstheme="minorHAnsi"/>
          <w:noProof/>
          <w:sz w:val="20"/>
          <w:szCs w:val="20"/>
          <w:lang w:val="cs-CZ"/>
        </w:rPr>
        <w:t>Jappelová</w:t>
      </w:r>
      <w:r>
        <w:rPr>
          <w:rFonts w:ascii="Calibri" w:hAnsi="Calibri" w:cstheme="minorHAnsi"/>
          <w:sz w:val="20"/>
          <w:szCs w:val="20"/>
          <w:lang w:val="cs-CZ"/>
        </w:rPr>
        <w:fldChar w:fldCharType="end"/>
      </w:r>
    </w:p>
    <w:p w14:paraId="70236ADD" w14:textId="3FBE6C03" w:rsidR="00D22173" w:rsidRPr="009F5CD9" w:rsidRDefault="008C1407" w:rsidP="00BE5203">
      <w:pPr>
        <w:widowControl w:val="0"/>
        <w:ind w:left="567" w:right="567"/>
        <w:jc w:val="both"/>
        <w:rPr>
          <w:rFonts w:ascii="Calibri" w:hAnsi="Calibri" w:cstheme="minorHAnsi"/>
          <w:sz w:val="20"/>
          <w:szCs w:val="20"/>
          <w:lang w:val="cs-CZ"/>
        </w:rPr>
      </w:pPr>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B05A20">
        <w:rPr>
          <w:rFonts w:ascii="Calibri" w:hAnsi="Calibri" w:cstheme="minorHAnsi"/>
          <w:sz w:val="20"/>
          <w:szCs w:val="20"/>
          <w:lang w:val="cs-CZ"/>
        </w:rPr>
        <w:t>58</w:t>
      </w:r>
      <w:r w:rsidR="00B05A20" w:rsidRPr="00B05A20">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62DD4E91"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B05A20" w:rsidRPr="00B05A20">
        <w:rPr>
          <w:rFonts w:ascii="Calibri" w:hAnsi="Calibri" w:cstheme="minorHAnsi"/>
          <w:noProof/>
          <w:sz w:val="20"/>
          <w:szCs w:val="20"/>
          <w:highlight w:val="black"/>
          <w:lang w:val="cs-CZ"/>
        </w:rPr>
        <w:t>…………………………….</w:t>
      </w:r>
      <w:r w:rsidR="00A554A6" w:rsidRPr="00A57B36">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2CC0A744"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3BBC008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308</w:t>
      </w:r>
      <w:r w:rsidR="00267EDA">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267EDA">
        <w:rPr>
          <w:rFonts w:ascii="Calibri" w:hAnsi="Calibri" w:cstheme="minorHAnsi"/>
          <w:sz w:val="20"/>
          <w:szCs w:val="20"/>
          <w:lang w:val="cs-CZ"/>
        </w:rPr>
        <w:t>493</w:t>
      </w:r>
      <w:r w:rsidRPr="009F5CD9">
        <w:rPr>
          <w:rFonts w:ascii="Calibri" w:hAnsi="Calibri" w:cstheme="minorHAnsi"/>
          <w:sz w:val="20"/>
          <w:szCs w:val="20"/>
          <w:lang w:val="cs-CZ"/>
        </w:rPr>
        <w:t xml:space="preserve">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A554A6" w:rsidRPr="00A57B36">
        <w:rPr>
          <w:rFonts w:ascii="Calibri" w:hAnsi="Calibri" w:cstheme="minorHAnsi"/>
          <w:noProof/>
          <w:sz w:val="20"/>
          <w:szCs w:val="20"/>
          <w:lang w:val="cs-CZ"/>
        </w:rPr>
        <w:t>7</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F86DBC">
        <w:rPr>
          <w:rFonts w:ascii="Calibri" w:hAnsi="Calibri" w:cstheme="minorHAnsi"/>
          <w:sz w:val="20"/>
          <w:szCs w:val="20"/>
          <w:lang w:val="cs-CZ"/>
        </w:rPr>
        <w:t>5682 a č. 5683</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662F13D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w:t>
      </w:r>
      <w:r w:rsidR="00F86DBC">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F86DBC">
        <w:rPr>
          <w:rFonts w:ascii="Calibri" w:hAnsi="Calibri" w:cstheme="minorHAnsi"/>
          <w:sz w:val="20"/>
          <w:szCs w:val="20"/>
          <w:lang w:val="cs-CZ"/>
        </w:rPr>
        <w:t>493</w:t>
      </w:r>
      <w:r w:rsidRPr="009F5CD9">
        <w:rPr>
          <w:rFonts w:ascii="Calibri" w:hAnsi="Calibri" w:cstheme="minorHAnsi"/>
          <w:sz w:val="20"/>
          <w:szCs w:val="20"/>
          <w:lang w:val="cs-CZ"/>
        </w:rPr>
        <w:t xml:space="preserve"> m</w:t>
      </w:r>
      <w:r w:rsidRPr="00F86DBC">
        <w:rPr>
          <w:rFonts w:ascii="Calibri" w:hAnsi="Calibri" w:cstheme="minorHAnsi"/>
          <w:sz w:val="20"/>
          <w:szCs w:val="20"/>
          <w:vertAlign w:val="superscript"/>
          <w:lang w:val="cs-CZ"/>
        </w:rPr>
        <w:t>2</w:t>
      </w:r>
      <w:r w:rsidRPr="009F5CD9">
        <w:rPr>
          <w:rFonts w:ascii="Calibri" w:hAnsi="Calibri" w:cstheme="minorHAnsi"/>
          <w:sz w:val="20"/>
          <w:szCs w:val="20"/>
          <w:lang w:val="cs-CZ"/>
        </w:rPr>
        <w:t>, zastavěná plocha</w:t>
      </w:r>
      <w:r w:rsidR="00256344">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w:t>
      </w:r>
      <w:r w:rsidR="00F86DBC">
        <w:rPr>
          <w:rFonts w:ascii="Calibri" w:hAnsi="Calibri" w:cstheme="minorHAnsi"/>
          <w:sz w:val="20"/>
          <w:szCs w:val="20"/>
          <w:lang w:val="cs-CZ"/>
        </w:rPr>
        <w:t>5682</w:t>
      </w:r>
      <w:r w:rsidRPr="009F5CD9">
        <w:rPr>
          <w:rFonts w:ascii="Calibri" w:hAnsi="Calibri" w:cstheme="minorHAnsi"/>
          <w:sz w:val="20"/>
          <w:szCs w:val="20"/>
          <w:lang w:val="cs-CZ"/>
        </w:rPr>
        <w:t xml:space="preserve">, katastrální území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532240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Kupující je řádným nájemcem bytu č.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A554A6" w:rsidRPr="00A57B36">
        <w:rPr>
          <w:rFonts w:ascii="Calibri" w:hAnsi="Calibri" w:cstheme="minorHAnsi"/>
          <w:noProof/>
          <w:sz w:val="20"/>
          <w:szCs w:val="20"/>
          <w:lang w:val="cs-CZ"/>
        </w:rPr>
        <w:t>7</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Předmět smlouvy</w:t>
      </w:r>
    </w:p>
    <w:p w14:paraId="24984FEC" w14:textId="67BFEA5C"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xml:space="preserve">. </w:t>
      </w:r>
      <w:r w:rsidR="00F86DBC">
        <w:rPr>
          <w:rFonts w:asciiTheme="minorHAnsi" w:hAnsiTheme="minorHAnsi" w:cstheme="minorHAnsi"/>
          <w:color w:val="auto"/>
          <w:sz w:val="20"/>
          <w:szCs w:val="20"/>
          <w:lang w:val="cs-CZ"/>
        </w:rPr>
        <w:t>1999</w:t>
      </w:r>
      <w:r w:rsidRPr="009F5CD9">
        <w:rPr>
          <w:rFonts w:asciiTheme="minorHAnsi" w:hAnsiTheme="minorHAnsi" w:cstheme="minorHAnsi"/>
          <w:color w:val="auto"/>
          <w:sz w:val="20"/>
          <w:szCs w:val="20"/>
          <w:lang w:val="cs-CZ"/>
        </w:rPr>
        <w:t>/</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7</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VELIKOST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3+kk</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PODLAŽÍ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v 1. a 2.</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 "00,00"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A554A6">
        <w:rPr>
          <w:rFonts w:cstheme="minorHAnsi"/>
          <w:noProof/>
          <w:color w:val="auto"/>
          <w:sz w:val="20"/>
          <w:szCs w:val="20"/>
          <w:lang w:val="cs-CZ"/>
        </w:rPr>
        <w:t>71,51</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042A8EBA"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Jednotka č. </w:t>
      </w:r>
      <w:r w:rsidR="00F86DBC">
        <w:rPr>
          <w:rFonts w:ascii="Calibri" w:hAnsi="Calibri" w:cstheme="minorHAnsi"/>
          <w:w w:val="105"/>
          <w:sz w:val="20"/>
          <w:szCs w:val="20"/>
          <w:lang w:val="cs-CZ"/>
        </w:rPr>
        <w:t>1999/</w:t>
      </w:r>
      <w:r w:rsidR="00381E57">
        <w:rPr>
          <w:rFonts w:ascii="Calibri" w:hAnsi="Calibri" w:cstheme="minorHAnsi"/>
          <w:w w:val="105"/>
          <w:sz w:val="20"/>
          <w:szCs w:val="20"/>
          <w:lang w:val="cs-CZ"/>
        </w:rPr>
        <w:fldChar w:fldCharType="begin"/>
      </w:r>
      <w:r w:rsidR="00381E57">
        <w:rPr>
          <w:rFonts w:ascii="Calibri" w:hAnsi="Calibri" w:cstheme="minorHAnsi"/>
          <w:w w:val="105"/>
          <w:sz w:val="20"/>
          <w:szCs w:val="20"/>
          <w:lang w:val="cs-CZ"/>
        </w:rPr>
        <w:instrText xml:space="preserve"> MERGEFIELD JEDNOTKA_Č </w:instrText>
      </w:r>
      <w:r w:rsidR="00381E57">
        <w:rPr>
          <w:rFonts w:ascii="Calibri" w:hAnsi="Calibri" w:cstheme="minorHAnsi"/>
          <w:w w:val="105"/>
          <w:sz w:val="20"/>
          <w:szCs w:val="20"/>
          <w:lang w:val="cs-CZ"/>
        </w:rPr>
        <w:fldChar w:fldCharType="separate"/>
      </w:r>
      <w:r w:rsidR="00A554A6" w:rsidRPr="00A57B36">
        <w:rPr>
          <w:rFonts w:ascii="Calibri" w:hAnsi="Calibri" w:cstheme="minorHAnsi"/>
          <w:noProof/>
          <w:w w:val="105"/>
          <w:sz w:val="20"/>
          <w:szCs w:val="20"/>
          <w:lang w:val="cs-CZ"/>
        </w:rPr>
        <w:t>7</w:t>
      </w:r>
      <w:r w:rsidR="00381E5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276"/>
      </w:tblGrid>
      <w:tr w:rsidR="00016D6C" w:rsidRPr="009F5CD9" w14:paraId="5E451FFE" w14:textId="77777777" w:rsidTr="00F86DBC">
        <w:trPr>
          <w:jc w:val="center"/>
        </w:trPr>
        <w:tc>
          <w:tcPr>
            <w:tcW w:w="2972" w:type="dxa"/>
          </w:tcPr>
          <w:p w14:paraId="59C3C170" w14:textId="4D41894A" w:rsidR="00016D6C" w:rsidRPr="009F5CD9" w:rsidRDefault="00F86DBC" w:rsidP="00F86DBC">
            <w:pPr>
              <w:widowControl w:val="0"/>
              <w:jc w:val="both"/>
              <w:rPr>
                <w:rFonts w:ascii="Calibri" w:hAnsi="Calibri" w:cstheme="minorHAnsi"/>
                <w:w w:val="105"/>
                <w:sz w:val="20"/>
                <w:szCs w:val="20"/>
                <w:lang w:val="cs-CZ"/>
              </w:rPr>
            </w:pPr>
            <w:r>
              <w:rPr>
                <w:rFonts w:ascii="Calibri" w:hAnsi="Calibri" w:cstheme="minorHAnsi"/>
                <w:w w:val="105"/>
                <w:sz w:val="20"/>
                <w:szCs w:val="20"/>
                <w:lang w:val="cs-CZ"/>
              </w:rPr>
              <w:t>obývací pokoj a kuchyňský kout</w:t>
            </w:r>
          </w:p>
        </w:tc>
        <w:tc>
          <w:tcPr>
            <w:tcW w:w="1276" w:type="dxa"/>
          </w:tcPr>
          <w:p w14:paraId="45E0DB2D" w14:textId="14EC780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CF16D6">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554A6">
              <w:rPr>
                <w:rFonts w:cstheme="minorHAnsi"/>
                <w:noProof/>
                <w:sz w:val="20"/>
                <w:szCs w:val="20"/>
                <w:lang w:val="cs-CZ"/>
              </w:rPr>
              <w:t>33,18</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F86DBC">
        <w:trPr>
          <w:jc w:val="center"/>
        </w:trPr>
        <w:tc>
          <w:tcPr>
            <w:tcW w:w="2972" w:type="dxa"/>
          </w:tcPr>
          <w:p w14:paraId="1CE93A87" w14:textId="6FEB4A1D"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3A770C0F" w14:textId="2B0635DA"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554A6">
              <w:rPr>
                <w:rFonts w:cstheme="minorHAnsi"/>
                <w:noProof/>
                <w:sz w:val="20"/>
                <w:szCs w:val="20"/>
                <w:lang w:val="cs-CZ"/>
              </w:rPr>
              <w:t>14,34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F86DBC">
        <w:trPr>
          <w:jc w:val="center"/>
        </w:trPr>
        <w:tc>
          <w:tcPr>
            <w:tcW w:w="2972" w:type="dxa"/>
          </w:tcPr>
          <w:p w14:paraId="6B3CD976" w14:textId="78EA6337"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186F656D" w14:textId="72983C92"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A554A6">
              <w:rPr>
                <w:rFonts w:cstheme="minorHAnsi"/>
                <w:noProof/>
                <w:sz w:val="20"/>
                <w:szCs w:val="20"/>
                <w:lang w:val="cs-CZ"/>
              </w:rPr>
              <w:t>11,23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F86DBC">
        <w:trPr>
          <w:jc w:val="center"/>
        </w:trPr>
        <w:tc>
          <w:tcPr>
            <w:tcW w:w="2972" w:type="dxa"/>
          </w:tcPr>
          <w:p w14:paraId="0ED91B78" w14:textId="68831B48"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koupelna</w:t>
            </w:r>
          </w:p>
        </w:tc>
        <w:tc>
          <w:tcPr>
            <w:tcW w:w="1276" w:type="dxa"/>
          </w:tcPr>
          <w:p w14:paraId="39FF90CD" w14:textId="1E87F5A7"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A554A6">
              <w:rPr>
                <w:rFonts w:cstheme="minorHAnsi"/>
                <w:noProof/>
                <w:sz w:val="20"/>
                <w:szCs w:val="20"/>
                <w:lang w:val="cs-CZ"/>
              </w:rPr>
              <w:t>4,30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F86DBC">
        <w:trPr>
          <w:jc w:val="center"/>
        </w:trPr>
        <w:tc>
          <w:tcPr>
            <w:tcW w:w="2972" w:type="dxa"/>
          </w:tcPr>
          <w:p w14:paraId="19B33BAD" w14:textId="1F8C4F83"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WC</w:t>
            </w:r>
          </w:p>
        </w:tc>
        <w:tc>
          <w:tcPr>
            <w:tcW w:w="1276" w:type="dxa"/>
          </w:tcPr>
          <w:p w14:paraId="0C0514A6" w14:textId="4EC51E38"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 </w:instrText>
            </w:r>
            <w:r>
              <w:rPr>
                <w:rFonts w:ascii="Calibri" w:hAnsi="Calibri" w:cstheme="minorHAnsi"/>
                <w:sz w:val="20"/>
                <w:szCs w:val="20"/>
                <w:lang w:val="cs-CZ"/>
              </w:rPr>
              <w:fldChar w:fldCharType="separate"/>
            </w:r>
            <w:r w:rsidR="00A554A6" w:rsidRPr="00A57B36">
              <w:rPr>
                <w:rFonts w:ascii="Calibri" w:hAnsi="Calibri" w:cstheme="minorHAnsi"/>
                <w:noProof/>
                <w:sz w:val="20"/>
                <w:szCs w:val="20"/>
                <w:lang w:val="cs-CZ"/>
              </w:rPr>
              <w:t>1,5</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F86DBC">
        <w:trPr>
          <w:jc w:val="center"/>
        </w:trPr>
        <w:tc>
          <w:tcPr>
            <w:tcW w:w="2972" w:type="dxa"/>
          </w:tcPr>
          <w:p w14:paraId="25923A48" w14:textId="5FEEE5EF"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hala</w:t>
            </w:r>
          </w:p>
        </w:tc>
        <w:tc>
          <w:tcPr>
            <w:tcW w:w="1276" w:type="dxa"/>
          </w:tcPr>
          <w:p w14:paraId="75D29E9D" w14:textId="6DE3C336"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554A6">
              <w:rPr>
                <w:rFonts w:cstheme="minorHAnsi"/>
                <w:noProof/>
                <w:sz w:val="20"/>
                <w:szCs w:val="20"/>
                <w:lang w:val="cs-CZ"/>
              </w:rPr>
              <w:t>2,72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F86DBC">
        <w:trPr>
          <w:jc w:val="center"/>
        </w:trPr>
        <w:tc>
          <w:tcPr>
            <w:tcW w:w="2972" w:type="dxa"/>
          </w:tcPr>
          <w:p w14:paraId="4712A75A" w14:textId="38FEFE6A"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zádveří</w:t>
            </w:r>
          </w:p>
        </w:tc>
        <w:tc>
          <w:tcPr>
            <w:tcW w:w="1276" w:type="dxa"/>
          </w:tcPr>
          <w:p w14:paraId="31AB020F" w14:textId="53CD88E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A554A6">
              <w:rPr>
                <w:rFonts w:cstheme="minorHAnsi"/>
                <w:noProof/>
                <w:sz w:val="20"/>
                <w:szCs w:val="20"/>
                <w:lang w:val="cs-CZ"/>
              </w:rPr>
              <w:t>4,41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4B90749D"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sporák </w:t>
            </w:r>
            <w:r w:rsidR="00F86DBC">
              <w:rPr>
                <w:rFonts w:ascii="Calibri" w:hAnsi="Calibri" w:cstheme="minorHAnsi"/>
                <w:sz w:val="20"/>
                <w:szCs w:val="20"/>
                <w:lang w:val="cs-CZ"/>
              </w:rPr>
              <w:t>kombinovaný</w:t>
            </w:r>
          </w:p>
        </w:tc>
        <w:tc>
          <w:tcPr>
            <w:tcW w:w="992" w:type="dxa"/>
          </w:tcPr>
          <w:p w14:paraId="7207FE87" w14:textId="06C71C9E"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w:t>
            </w:r>
            <w:r w:rsidR="00DD7B35">
              <w:rPr>
                <w:rFonts w:ascii="Calibri" w:hAnsi="Calibri" w:cstheme="minorHAnsi"/>
                <w:sz w:val="20"/>
                <w:szCs w:val="20"/>
                <w:lang w:val="cs-CZ"/>
              </w:rPr>
              <w:t xml:space="preserve"> kus</w:t>
            </w:r>
          </w:p>
        </w:tc>
      </w:tr>
      <w:tr w:rsidR="00016D6C" w:rsidRPr="00C927C4"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3CE3190A"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94A6A3D"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w:t>
            </w:r>
            <w:r w:rsidR="009C0B7E">
              <w:rPr>
                <w:rFonts w:ascii="Calibri" w:hAnsi="Calibri" w:cstheme="minorHAnsi"/>
                <w:sz w:val="20"/>
                <w:szCs w:val="20"/>
                <w:lang w:val="cs-CZ"/>
              </w:rPr>
              <w:t>y</w:t>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75653610"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3C48AC6A" w14:textId="77777777" w:rsidTr="0027426C">
        <w:trPr>
          <w:jc w:val="center"/>
        </w:trPr>
        <w:tc>
          <w:tcPr>
            <w:tcW w:w="3681" w:type="dxa"/>
          </w:tcPr>
          <w:p w14:paraId="0B88A832" w14:textId="297AFE0B" w:rsidR="009C0B7E"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mísící vodovodní baterie </w:t>
            </w:r>
            <w:proofErr w:type="spellStart"/>
            <w:r>
              <w:rPr>
                <w:rFonts w:ascii="Calibri" w:hAnsi="Calibri" w:cstheme="minorHAnsi"/>
                <w:sz w:val="20"/>
                <w:szCs w:val="20"/>
                <w:lang w:val="cs-CZ"/>
              </w:rPr>
              <w:t>dřezová</w:t>
            </w:r>
            <w:proofErr w:type="spellEnd"/>
          </w:p>
        </w:tc>
        <w:tc>
          <w:tcPr>
            <w:tcW w:w="992" w:type="dxa"/>
          </w:tcPr>
          <w:p w14:paraId="14A941A9" w14:textId="764C1A61"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203931BC"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0060BD63"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2700CBBE" w14:textId="77777777" w:rsidTr="0027426C">
        <w:trPr>
          <w:jc w:val="center"/>
        </w:trPr>
        <w:tc>
          <w:tcPr>
            <w:tcW w:w="3681" w:type="dxa"/>
          </w:tcPr>
          <w:p w14:paraId="5E5C8FBB" w14:textId="30D1F4D5" w:rsidR="009C0B7E"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Elektrický průtokový ohřívač vody</w:t>
            </w:r>
          </w:p>
        </w:tc>
        <w:tc>
          <w:tcPr>
            <w:tcW w:w="992" w:type="dxa"/>
          </w:tcPr>
          <w:p w14:paraId="2002D061" w14:textId="469C0F24"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1kus</w:t>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6AED92AF"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016D6C" w:rsidRPr="009F5CD9" w14:paraId="61225D44" w14:textId="77777777" w:rsidTr="0027426C">
        <w:trPr>
          <w:jc w:val="center"/>
        </w:trPr>
        <w:tc>
          <w:tcPr>
            <w:tcW w:w="3681" w:type="dxa"/>
          </w:tcPr>
          <w:p w14:paraId="320B41C6" w14:textId="2E021719" w:rsidR="00016D6C"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Závěsný plynový kombinovaný kotel turbo</w:t>
            </w:r>
          </w:p>
        </w:tc>
        <w:tc>
          <w:tcPr>
            <w:tcW w:w="992" w:type="dxa"/>
          </w:tcPr>
          <w:p w14:paraId="74E71BCC" w14:textId="692AA467"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23792E59" w14:textId="77777777" w:rsidTr="0027426C">
        <w:trPr>
          <w:jc w:val="center"/>
        </w:trPr>
        <w:tc>
          <w:tcPr>
            <w:tcW w:w="3681" w:type="dxa"/>
          </w:tcPr>
          <w:p w14:paraId="7AE83D93" w14:textId="62620ECE" w:rsidR="00016D6C"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3A8F388C" w14:textId="300BDDEF"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8 kus</w:t>
            </w:r>
            <w:r w:rsidR="009C0B7E">
              <w:rPr>
                <w:rFonts w:ascii="Calibri" w:hAnsi="Calibri" w:cstheme="minorHAnsi"/>
                <w:sz w:val="20"/>
                <w:szCs w:val="20"/>
                <w:lang w:val="cs-CZ"/>
              </w:rPr>
              <w:t>ů</w:t>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1E81F088" w:rsidR="00987038"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008DD147" w14:textId="127C83D2" w:rsidR="00987038" w:rsidRDefault="00987038"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7151/70786</w:t>
      </w:r>
      <w:r w:rsidR="00022BDD">
        <w:rPr>
          <w:rFonts w:asciiTheme="minorHAnsi" w:hAnsiTheme="minorHAnsi" w:cstheme="minorHAnsi"/>
          <w:color w:val="auto"/>
          <w:sz w:val="20"/>
          <w:szCs w:val="20"/>
          <w:lang w:val="cs-CZ"/>
        </w:rPr>
        <w:fldChar w:fldCharType="end"/>
      </w:r>
      <w:r w:rsidR="00022BDD">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w:instrText>
      </w:r>
      <w:r w:rsidR="00022BDD">
        <w:rPr>
          <w:rFonts w:cstheme="minorHAnsi"/>
          <w:sz w:val="20"/>
          <w:szCs w:val="20"/>
          <w:lang w:val="cs-CZ"/>
        </w:rPr>
        <w:instrText xml:space="preserve"> </w:instrText>
      </w:r>
      <w:r w:rsidR="00022BDD" w:rsidRPr="00022BDD">
        <w:rPr>
          <w:rFonts w:cstheme="minorHAnsi"/>
          <w:color w:val="auto"/>
          <w:sz w:val="20"/>
          <w:szCs w:val="20"/>
          <w:lang w:val="cs-CZ"/>
        </w:rPr>
        <w:instrText>"00,00"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A554A6">
        <w:rPr>
          <w:rFonts w:cstheme="minorHAnsi"/>
          <w:noProof/>
          <w:color w:val="auto"/>
          <w:sz w:val="20"/>
          <w:szCs w:val="20"/>
          <w:lang w:val="cs-CZ"/>
        </w:rPr>
        <w:t>71,51</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 xml:space="preserve">součet podlahových ploch všech jednotek: </w:t>
      </w:r>
      <w:r w:rsidR="009C0B7E">
        <w:rPr>
          <w:rFonts w:asciiTheme="minorHAnsi" w:hAnsiTheme="minorHAnsi" w:cstheme="minorHAnsi"/>
          <w:color w:val="auto"/>
          <w:sz w:val="20"/>
          <w:szCs w:val="20"/>
          <w:lang w:val="cs-CZ"/>
        </w:rPr>
        <w:t>707,86</w:t>
      </w:r>
      <w:r w:rsidRPr="009F5CD9">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p>
    <w:p w14:paraId="0637C17F" w14:textId="3AE58C1E" w:rsidR="00A9281C" w:rsidRPr="009F5CD9" w:rsidRDefault="00A9281C"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w:t>
      </w:r>
      <w:r w:rsidR="00B02914">
        <w:rPr>
          <w:rFonts w:asciiTheme="minorHAnsi" w:hAnsiTheme="minorHAnsi" w:cstheme="minorHAnsi"/>
          <w:color w:val="auto"/>
          <w:sz w:val="20"/>
          <w:szCs w:val="20"/>
          <w:lang w:val="cs-CZ"/>
        </w:rPr>
        <w:t>7</w:t>
      </w:r>
      <w:r w:rsidRPr="009F5CD9">
        <w:rPr>
          <w:rFonts w:asciiTheme="minorHAnsi" w:hAnsiTheme="minorHAnsi" w:cstheme="minorHAnsi"/>
          <w:color w:val="auto"/>
          <w:sz w:val="20"/>
          <w:szCs w:val="20"/>
          <w:lang w:val="cs-CZ"/>
        </w:rPr>
        <w:t xml:space="preserve"> o výměře </w:t>
      </w:r>
      <w:r w:rsidR="00B02914">
        <w:rPr>
          <w:rFonts w:asciiTheme="minorHAnsi" w:hAnsiTheme="minorHAnsi" w:cstheme="minorHAnsi"/>
          <w:color w:val="auto"/>
          <w:sz w:val="20"/>
          <w:szCs w:val="20"/>
          <w:lang w:val="cs-CZ"/>
        </w:rPr>
        <w:t>493</w:t>
      </w:r>
      <w:r w:rsidRPr="009F5CD9">
        <w:rPr>
          <w:rFonts w:asciiTheme="minorHAnsi" w:hAnsiTheme="minorHAnsi" w:cstheme="minorHAnsi"/>
          <w:color w:val="auto"/>
          <w:sz w:val="20"/>
          <w:szCs w:val="20"/>
          <w:lang w:val="cs-CZ"/>
        </w:rPr>
        <w:t xml:space="preserve"> m</w:t>
      </w:r>
      <w:r w:rsidRPr="00B02914">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7151/70786</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2A81BE02" w14:textId="0B66F5DC" w:rsidR="00112A45" w:rsidRDefault="00112A45"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112A45">
        <w:rPr>
          <w:rFonts w:asciiTheme="minorHAnsi" w:hAnsiTheme="minorHAnsi" w:cstheme="minorHAnsi"/>
          <w:color w:val="auto"/>
          <w:sz w:val="20"/>
          <w:szCs w:val="20"/>
          <w:lang w:val="cs-CZ"/>
        </w:rPr>
        <w:lastRenderedPageBreak/>
        <w:t>Na základě této smlouvy prodávající prodávají jednotku č</w:t>
      </w:r>
      <w:r>
        <w:rPr>
          <w:rFonts w:asciiTheme="minorHAnsi" w:hAnsiTheme="minorHAnsi" w:cstheme="minorHAnsi"/>
          <w:color w:val="auto"/>
          <w:sz w:val="20"/>
          <w:szCs w:val="20"/>
          <w:lang w:val="cs-CZ"/>
        </w:rPr>
        <w:t>. 1999/</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A554A6" w:rsidRPr="00A554A6">
        <w:rPr>
          <w:rFonts w:asciiTheme="minorHAnsi" w:hAnsiTheme="minorHAnsi" w:cstheme="minorHAnsi"/>
          <w:noProof/>
          <w:color w:val="auto"/>
          <w:sz w:val="20"/>
          <w:szCs w:val="20"/>
          <w:lang w:val="cs-CZ"/>
        </w:rPr>
        <w:t>7</w:t>
      </w:r>
      <w:r w:rsidR="00022BDD">
        <w:rPr>
          <w:rFonts w:asciiTheme="minorHAnsi" w:hAnsiTheme="minorHAnsi" w:cstheme="minorHAnsi"/>
          <w:color w:val="auto"/>
          <w:sz w:val="20"/>
          <w:szCs w:val="20"/>
          <w:lang w:val="cs-CZ"/>
        </w:rPr>
        <w:fldChar w:fldCharType="end"/>
      </w:r>
      <w:r w:rsidRPr="00112A45">
        <w:rPr>
          <w:rFonts w:asciiTheme="minorHAnsi" w:hAnsiTheme="minorHAnsi" w:cstheme="minorHAnsi"/>
          <w:color w:val="auto"/>
          <w:sz w:val="20"/>
          <w:szCs w:val="20"/>
          <w:lang w:val="cs-CZ"/>
        </w:rPr>
        <w:t xml:space="preserve"> včetně příslušných spoluvlastnických podílů na společných částech domu a </w:t>
      </w:r>
      <w:r w:rsidR="00022BDD" w:rsidRPr="00112A45">
        <w:rPr>
          <w:rFonts w:asciiTheme="minorHAnsi" w:hAnsiTheme="minorHAnsi" w:cstheme="minorHAnsi"/>
          <w:color w:val="auto"/>
          <w:sz w:val="20"/>
          <w:szCs w:val="20"/>
          <w:lang w:val="cs-CZ"/>
        </w:rPr>
        <w:t>pozemku,</w:t>
      </w:r>
      <w:r w:rsidRPr="00112A45">
        <w:rPr>
          <w:rFonts w:asciiTheme="minorHAnsi" w:hAnsiTheme="minorHAnsi" w:cstheme="minorHAnsi"/>
          <w:color w:val="auto"/>
          <w:sz w:val="20"/>
          <w:szCs w:val="20"/>
          <w:lang w:val="cs-CZ"/>
        </w:rPr>
        <w:t xml:space="preserve"> jak je specifikováno v čl. 3 této smlouvy kupujícím</w:t>
      </w:r>
      <w:r w:rsidR="002E6EC6">
        <w:rPr>
          <w:rFonts w:asciiTheme="minorHAnsi" w:hAnsiTheme="minorHAnsi" w:cstheme="minorHAnsi"/>
          <w:color w:val="auto"/>
          <w:sz w:val="20"/>
          <w:szCs w:val="20"/>
          <w:lang w:val="cs-CZ"/>
        </w:rPr>
        <w:t>u</w:t>
      </w:r>
      <w:r w:rsidRPr="00112A45">
        <w:rPr>
          <w:rFonts w:asciiTheme="minorHAnsi" w:hAnsiTheme="minorHAnsi" w:cstheme="minorHAnsi"/>
          <w:color w:val="auto"/>
          <w:sz w:val="20"/>
          <w:szCs w:val="20"/>
          <w:lang w:val="cs-CZ"/>
        </w:rPr>
        <w:t xml:space="preserve"> a kupující ji do svého </w:t>
      </w:r>
      <w:r w:rsidR="002E6EC6">
        <w:rPr>
          <w:rFonts w:asciiTheme="minorHAnsi" w:hAnsiTheme="minorHAnsi" w:cstheme="minorHAnsi"/>
          <w:color w:val="auto"/>
          <w:sz w:val="20"/>
          <w:szCs w:val="20"/>
          <w:lang w:val="cs-CZ"/>
        </w:rPr>
        <w:t>výlučného vlastnictví</w:t>
      </w:r>
      <w:r w:rsidRPr="00112A45">
        <w:rPr>
          <w:rFonts w:asciiTheme="minorHAnsi" w:hAnsiTheme="minorHAnsi" w:cstheme="minorHAnsi"/>
          <w:color w:val="auto"/>
          <w:sz w:val="20"/>
          <w:szCs w:val="20"/>
          <w:lang w:val="cs-CZ"/>
        </w:rPr>
        <w:t xml:space="preserve"> za sjednanou kupní cenu přijím</w:t>
      </w:r>
      <w:r w:rsidR="001E7A17">
        <w:rPr>
          <w:rFonts w:asciiTheme="minorHAnsi" w:hAnsiTheme="minorHAnsi" w:cstheme="minorHAnsi"/>
          <w:color w:val="auto"/>
          <w:sz w:val="20"/>
          <w:szCs w:val="20"/>
          <w:lang w:val="cs-CZ"/>
        </w:rPr>
        <w:t>á</w:t>
      </w:r>
      <w:r>
        <w:rPr>
          <w:rFonts w:asciiTheme="minorHAnsi" w:hAnsiTheme="minorHAnsi" w:cstheme="minorHAnsi"/>
          <w:color w:val="auto"/>
          <w:sz w:val="20"/>
          <w:szCs w:val="20"/>
          <w:lang w:val="cs-CZ"/>
        </w:rPr>
        <w:t>.</w:t>
      </w:r>
    </w:p>
    <w:p w14:paraId="2406D624" w14:textId="20B713DD" w:rsidR="00A9281C" w:rsidRPr="009F5CD9" w:rsidRDefault="00A9281C" w:rsidP="00B84B44">
      <w:pPr>
        <w:pStyle w:val="Nadpis1"/>
        <w:keepNext w:val="0"/>
        <w:widowControl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05AB2ABD" w14:textId="77777777" w:rsidR="007C2844" w:rsidRDefault="007C2844" w:rsidP="00973E74">
      <w:pPr>
        <w:pStyle w:val="Odstavecseseznamem"/>
        <w:numPr>
          <w:ilvl w:val="0"/>
          <w:numId w:val="20"/>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Slavia pojišťovna a.s. se sídlem Praha 1, Revoluční 1/655, PSČ: 110 00,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12934212"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Odvoz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Průběžná 1940/3, 500 09 Hradec Králové, IČ 42194920 - Město Říčany – Smlouva o likvidaci komunálního odpadu v souladu s obecně závaznou vyhláškou města Říčany č. 7/2017 </w:t>
      </w:r>
    </w:p>
    <w:p w14:paraId="511C9BDC"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63125DE1"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112A45" w:rsidRPr="009F5CD9">
        <w:rPr>
          <w:rFonts w:asciiTheme="minorHAnsi" w:hAnsiTheme="minorHAnsi" w:cstheme="minorHAnsi"/>
          <w:color w:val="auto"/>
          <w:sz w:val="20"/>
          <w:szCs w:val="20"/>
          <w:lang w:val="cs-CZ"/>
        </w:rPr>
        <w:t>bytu,</w:t>
      </w:r>
      <w:r w:rsidR="00112A45">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0C92384E" w14:textId="77777777" w:rsidR="002F55B5" w:rsidRPr="009F5CD9" w:rsidRDefault="002F55B5" w:rsidP="002F55B5">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6F93556B" w14:textId="77777777" w:rsidR="00112A45" w:rsidRDefault="00FC11C2" w:rsidP="00112A45">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039F49E" w14:textId="77777777" w:rsidR="00112A45" w:rsidRDefault="00112A45" w:rsidP="00112A45">
      <w:pPr>
        <w:widowControl w:val="0"/>
        <w:ind w:left="567" w:right="567"/>
        <w:jc w:val="both"/>
        <w:rPr>
          <w:rFonts w:ascii="Calibri" w:hAnsi="Calibri" w:cstheme="minorHAnsi"/>
          <w:sz w:val="20"/>
          <w:szCs w:val="20"/>
          <w:lang w:val="cs-CZ"/>
        </w:rPr>
      </w:pPr>
      <w:r w:rsidRPr="00112A45">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0ADD20A4" w:rsidR="00FC11C2" w:rsidRPr="00112A45" w:rsidRDefault="00B02914" w:rsidP="00112A45">
      <w:pPr>
        <w:widowControl w:val="0"/>
        <w:ind w:left="567" w:right="567"/>
        <w:jc w:val="both"/>
        <w:rPr>
          <w:rFonts w:ascii="Calibri" w:hAnsi="Calibri" w:cstheme="minorHAnsi"/>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E9C309D"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73E7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719E0A0"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06A36303" w14:textId="24B0FBB3" w:rsidR="00FD5607" w:rsidRDefault="00FD5607" w:rsidP="00FD5607">
      <w:pPr>
        <w:pStyle w:val="Nadpis1"/>
        <w:widowControl w:val="0"/>
        <w:numPr>
          <w:ilvl w:val="1"/>
          <w:numId w:val="13"/>
        </w:numPr>
        <w:ind w:left="426"/>
        <w:jc w:val="both"/>
        <w:rPr>
          <w:rFonts w:ascii="Calibri" w:hAnsi="Calibri" w:cstheme="minorHAnsi"/>
          <w:color w:val="auto"/>
          <w:sz w:val="20"/>
          <w:szCs w:val="20"/>
          <w:lang w:val="cs-CZ"/>
        </w:rPr>
      </w:pPr>
      <w:r w:rsidRPr="00FD5607">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34B4C2FE" w14:textId="1A9103B5" w:rsidR="00B84B44" w:rsidRPr="00A438DB" w:rsidRDefault="00B84B44" w:rsidP="005B1BCA">
      <w:pPr>
        <w:pStyle w:val="Nadpis1"/>
        <w:widowControl w:val="0"/>
        <w:numPr>
          <w:ilvl w:val="1"/>
          <w:numId w:val="13"/>
        </w:numPr>
        <w:ind w:left="426"/>
        <w:jc w:val="both"/>
        <w:rPr>
          <w:rFonts w:ascii="Calibri" w:hAnsi="Calibri" w:cstheme="minorHAnsi"/>
          <w:color w:val="auto"/>
          <w:sz w:val="20"/>
          <w:szCs w:val="20"/>
          <w:lang w:val="cs-CZ"/>
        </w:rPr>
      </w:pPr>
      <w:r w:rsidRPr="00A438DB">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7892CE1A"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112A45">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112A45">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4549B7F6" w:rsidR="00FF7B64"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73E7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6A3BBCCB" w14:textId="2DC032C9" w:rsidR="00C81032" w:rsidRDefault="00C81032" w:rsidP="00EB7CF9">
      <w:pPr>
        <w:rPr>
          <w:lang w:val="cs-CZ"/>
        </w:rPr>
      </w:pPr>
    </w:p>
    <w:p w14:paraId="7E8DDD6B" w14:textId="64900780"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ZVEŘ_OD </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fldChar w:fldCharType="separate"/>
      </w:r>
      <w:r w:rsidR="00A554A6">
        <w:rPr>
          <w:rFonts w:ascii="Calibri" w:hAnsi="Calibri" w:cstheme="minorHAnsi"/>
          <w:noProof/>
          <w:color w:val="auto"/>
          <w:sz w:val="20"/>
          <w:szCs w:val="20"/>
          <w:lang w:val="cs-CZ"/>
        </w:rPr>
        <w:t>14.10.21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do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ZVEŘ_DO</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A554A6">
        <w:rPr>
          <w:rFonts w:ascii="Calibri" w:hAnsi="Calibri" w:cstheme="minorHAnsi"/>
          <w:noProof/>
          <w:color w:val="auto"/>
          <w:sz w:val="20"/>
          <w:szCs w:val="20"/>
          <w:lang w:val="cs-CZ"/>
        </w:rPr>
        <w:t>01.11.21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23743BD2" w14:textId="3D0F926B"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Uzavření této smlouvy schválilo Zastupitelstvo města Říčany na svém zasedání dne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DATUM_USN</w:instrText>
      </w:r>
      <w:r w:rsidR="0078758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A554A6">
        <w:rPr>
          <w:rFonts w:ascii="Calibri" w:hAnsi="Calibri" w:cstheme="minorHAnsi"/>
          <w:noProof/>
          <w:color w:val="auto"/>
          <w:sz w:val="20"/>
          <w:szCs w:val="20"/>
          <w:lang w:val="cs-CZ"/>
        </w:rPr>
        <w:t>10.11.21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pod č. usn</w:t>
      </w:r>
      <w:r w:rsidR="00787580">
        <w:rPr>
          <w:rFonts w:ascii="Calibri" w:hAnsi="Calibri" w:cstheme="minorHAnsi"/>
          <w:color w:val="auto"/>
          <w:sz w:val="20"/>
          <w:szCs w:val="20"/>
          <w:lang w:val="cs-CZ"/>
        </w:rPr>
        <w:t>esení</w:t>
      </w:r>
      <w:r>
        <w:rPr>
          <w:rFonts w:ascii="Calibri" w:hAnsi="Calibri" w:cstheme="minorHAnsi"/>
          <w:color w:val="auto"/>
          <w:sz w:val="20"/>
          <w:szCs w:val="20"/>
          <w:lang w:val="cs-CZ"/>
        </w:rPr>
        <w:t xml:space="preserve"> </w:t>
      </w:r>
      <w:r w:rsidR="00787580">
        <w:rPr>
          <w:rFonts w:ascii="Calibri" w:hAnsi="Calibri" w:cstheme="minorHAnsi"/>
          <w:color w:val="auto"/>
          <w:sz w:val="20"/>
          <w:szCs w:val="20"/>
          <w:lang w:val="cs-CZ"/>
        </w:rPr>
        <w:fldChar w:fldCharType="begin"/>
      </w:r>
      <w:r w:rsidR="00787580">
        <w:rPr>
          <w:rFonts w:ascii="Calibri" w:hAnsi="Calibri" w:cstheme="minorHAnsi"/>
          <w:color w:val="auto"/>
          <w:sz w:val="20"/>
          <w:szCs w:val="20"/>
          <w:lang w:val="cs-CZ"/>
        </w:rPr>
        <w:instrText xml:space="preserve"> MERGEFIELD  USN  \* MERGEFORMAT </w:instrText>
      </w:r>
      <w:r w:rsidR="00787580">
        <w:rPr>
          <w:rFonts w:ascii="Calibri" w:hAnsi="Calibri" w:cstheme="minorHAnsi"/>
          <w:color w:val="auto"/>
          <w:sz w:val="20"/>
          <w:szCs w:val="20"/>
          <w:lang w:val="cs-CZ"/>
        </w:rPr>
        <w:fldChar w:fldCharType="separate"/>
      </w:r>
      <w:r w:rsidR="00A554A6" w:rsidRPr="00A554A6">
        <w:rPr>
          <w:rFonts w:ascii="Calibri" w:hAnsi="Calibri" w:cstheme="minorHAnsi"/>
          <w:noProof/>
          <w:color w:val="auto"/>
          <w:sz w:val="20"/>
          <w:szCs w:val="20"/>
          <w:lang w:val="cs-CZ"/>
        </w:rPr>
        <w:t>21-09-001</w:t>
      </w:r>
      <w:r w:rsidR="00787580">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3D27BB22" w14:textId="474AD7D3"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112A45">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41692003" w14:textId="4DFCD831" w:rsidR="00CF16D6" w:rsidRDefault="00CF16D6" w:rsidP="00EB7CF9">
      <w:pPr>
        <w:rPr>
          <w:lang w:val="cs-CZ"/>
        </w:rPr>
      </w:pPr>
    </w:p>
    <w:p w14:paraId="77FEB46D" w14:textId="015CB7A2" w:rsidR="00DD0B90" w:rsidRDefault="00DD0B90" w:rsidP="00EB7CF9">
      <w:pPr>
        <w:rPr>
          <w:lang w:val="cs-CZ"/>
        </w:rPr>
      </w:pPr>
    </w:p>
    <w:p w14:paraId="2C018121" w14:textId="417DEFA0" w:rsidR="00DD0B90" w:rsidRDefault="00DD0B90" w:rsidP="00EB7CF9">
      <w:pPr>
        <w:rPr>
          <w:lang w:val="cs-CZ"/>
        </w:rPr>
      </w:pPr>
    </w:p>
    <w:p w14:paraId="175E937C" w14:textId="77777777" w:rsidR="00DD0B90" w:rsidRDefault="00DD0B90" w:rsidP="00EB7CF9">
      <w:pPr>
        <w:rPr>
          <w:lang w:val="cs-CZ"/>
        </w:rPr>
      </w:pPr>
    </w:p>
    <w:p w14:paraId="7CF44166" w14:textId="77777777" w:rsidR="00DD0B90" w:rsidRDefault="00DD0B90" w:rsidP="00EB7CF9">
      <w:pPr>
        <w:rPr>
          <w:lang w:val="cs-CZ"/>
        </w:rPr>
      </w:pPr>
    </w:p>
    <w:p w14:paraId="18CB803B" w14:textId="77777777" w:rsidR="00CF16D6" w:rsidRDefault="00CF16D6" w:rsidP="00EB7CF9">
      <w:pPr>
        <w:rPr>
          <w:lang w:val="cs-CZ"/>
        </w:rPr>
      </w:pPr>
    </w:p>
    <w:tbl>
      <w:tblPr>
        <w:tblStyle w:val="Mkatabulky1"/>
        <w:tblW w:w="0" w:type="auto"/>
        <w:tblLook w:val="04A0" w:firstRow="1" w:lastRow="0" w:firstColumn="1" w:lastColumn="0" w:noHBand="0" w:noVBand="1"/>
      </w:tblPr>
      <w:tblGrid>
        <w:gridCol w:w="4814"/>
        <w:gridCol w:w="4815"/>
      </w:tblGrid>
      <w:tr w:rsidR="00AB6B1E" w:rsidRPr="001C4717" w14:paraId="2ACE1776" w14:textId="77777777" w:rsidTr="00B72EC8">
        <w:tc>
          <w:tcPr>
            <w:tcW w:w="4814" w:type="dxa"/>
          </w:tcPr>
          <w:p w14:paraId="23B8BECF" w14:textId="5F1C0E2E" w:rsidR="00AB6B1E" w:rsidRPr="001C4717" w:rsidRDefault="00AB6B1E"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lastRenderedPageBreak/>
              <w:t>V Říčanech dne</w:t>
            </w:r>
            <w:r>
              <w:rPr>
                <w:rFonts w:ascii="Calibri" w:hAnsi="Calibri" w:cstheme="minorHAnsi"/>
                <w:sz w:val="20"/>
                <w:szCs w:val="20"/>
                <w:lang w:val="cs-CZ"/>
              </w:rPr>
              <w:t>:</w:t>
            </w:r>
            <w:r w:rsidR="00B05A20">
              <w:rPr>
                <w:rFonts w:ascii="Calibri" w:hAnsi="Calibri" w:cstheme="minorHAnsi"/>
                <w:sz w:val="20"/>
                <w:szCs w:val="20"/>
                <w:lang w:val="cs-CZ"/>
              </w:rPr>
              <w:t xml:space="preserve"> </w:t>
            </w:r>
          </w:p>
        </w:tc>
        <w:tc>
          <w:tcPr>
            <w:tcW w:w="4815" w:type="dxa"/>
          </w:tcPr>
          <w:p w14:paraId="017CC63F" w14:textId="77777777" w:rsidR="00AB6B1E" w:rsidRPr="001C4717" w:rsidRDefault="00AB6B1E"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AB6B1E" w:rsidRPr="00E874F3" w14:paraId="5BC9B912" w14:textId="77777777" w:rsidTr="00B72EC8">
        <w:trPr>
          <w:trHeight w:val="2641"/>
        </w:trPr>
        <w:tc>
          <w:tcPr>
            <w:tcW w:w="4814" w:type="dxa"/>
          </w:tcPr>
          <w:p w14:paraId="3F66C2AA" w14:textId="77777777"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6446CCF5" w14:textId="77777777" w:rsidR="00AB6B1E" w:rsidRPr="001C4717" w:rsidRDefault="00AB6B1E" w:rsidP="00B72EC8">
            <w:pPr>
              <w:rPr>
                <w:lang w:val="cs-CZ"/>
              </w:rPr>
            </w:pPr>
            <w:r w:rsidRPr="001C4717">
              <w:rPr>
                <w:lang w:val="cs-CZ"/>
              </w:rPr>
              <w:t>Ing. David Michalička</w:t>
            </w:r>
          </w:p>
        </w:tc>
        <w:tc>
          <w:tcPr>
            <w:tcW w:w="4815" w:type="dxa"/>
          </w:tcPr>
          <w:p w14:paraId="0B31C965"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1007DADF"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186452D0" w14:textId="77777777" w:rsidR="00AB6B1E" w:rsidRPr="001C4717" w:rsidRDefault="00AB6B1E" w:rsidP="00B72EC8">
            <w:pPr>
              <w:rPr>
                <w:lang w:val="cs-CZ"/>
              </w:rPr>
            </w:pPr>
          </w:p>
        </w:tc>
      </w:tr>
      <w:tr w:rsidR="00AB6B1E" w:rsidRPr="00E874F3" w14:paraId="3A366430" w14:textId="77777777" w:rsidTr="00B72EC8">
        <w:trPr>
          <w:trHeight w:val="274"/>
        </w:trPr>
        <w:tc>
          <w:tcPr>
            <w:tcW w:w="4814" w:type="dxa"/>
          </w:tcPr>
          <w:p w14:paraId="64CDDAA1" w14:textId="5258DE11"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B05A20">
              <w:rPr>
                <w:rFonts w:ascii="Calibri" w:hAnsi="Calibri" w:cstheme="minorHAnsi"/>
                <w:sz w:val="20"/>
                <w:szCs w:val="20"/>
                <w:lang w:val="cs-CZ"/>
              </w:rPr>
              <w:t xml:space="preserve"> </w:t>
            </w:r>
            <w:proofErr w:type="gramStart"/>
            <w:r w:rsidR="00B05A20">
              <w:rPr>
                <w:rFonts w:ascii="Calibri" w:hAnsi="Calibri" w:cstheme="minorHAnsi"/>
                <w:sz w:val="20"/>
                <w:szCs w:val="20"/>
                <w:lang w:val="cs-CZ"/>
              </w:rPr>
              <w:t>24.11.2021</w:t>
            </w:r>
            <w:proofErr w:type="gramEnd"/>
          </w:p>
        </w:tc>
        <w:tc>
          <w:tcPr>
            <w:tcW w:w="4815" w:type="dxa"/>
          </w:tcPr>
          <w:p w14:paraId="48492C54" w14:textId="77777777" w:rsidR="00AB6B1E" w:rsidRDefault="00AB6B1E" w:rsidP="00B72EC8">
            <w:pPr>
              <w:spacing w:line="276" w:lineRule="auto"/>
              <w:rPr>
                <w:lang w:val="cs-CZ"/>
              </w:rPr>
            </w:pPr>
          </w:p>
        </w:tc>
      </w:tr>
      <w:tr w:rsidR="00AB6B1E" w:rsidRPr="00E874F3" w14:paraId="7ABFAEC4" w14:textId="77777777" w:rsidTr="00B72EC8">
        <w:trPr>
          <w:trHeight w:val="2641"/>
        </w:trPr>
        <w:tc>
          <w:tcPr>
            <w:tcW w:w="4814" w:type="dxa"/>
          </w:tcPr>
          <w:p w14:paraId="53AE5ED3" w14:textId="77777777" w:rsidR="00AB6B1E" w:rsidRDefault="00AB6B1E" w:rsidP="00B72EC8">
            <w:pPr>
              <w:rPr>
                <w:lang w:val="cs-CZ"/>
              </w:rPr>
            </w:pPr>
            <w:r>
              <w:rPr>
                <w:lang w:val="cs-CZ"/>
              </w:rPr>
              <w:t>Město Říčany</w:t>
            </w:r>
          </w:p>
          <w:p w14:paraId="6378B93D" w14:textId="77777777" w:rsidR="00AB6B1E" w:rsidRPr="001C4717" w:rsidRDefault="00AB6B1E" w:rsidP="00B72EC8">
            <w:pPr>
              <w:rPr>
                <w:rFonts w:ascii="Calibri" w:hAnsi="Calibri" w:cstheme="minorHAnsi"/>
                <w:sz w:val="20"/>
                <w:szCs w:val="20"/>
                <w:lang w:val="cs-CZ"/>
              </w:rPr>
            </w:pPr>
            <w:r w:rsidRPr="00727F9D">
              <w:rPr>
                <w:lang w:val="cs-CZ"/>
              </w:rPr>
              <w:t>Ing. Miloslav Šmolík</w:t>
            </w:r>
          </w:p>
        </w:tc>
        <w:tc>
          <w:tcPr>
            <w:tcW w:w="4815" w:type="dxa"/>
          </w:tcPr>
          <w:p w14:paraId="29674B47" w14:textId="77777777" w:rsidR="00AB6B1E" w:rsidRDefault="00AB6B1E" w:rsidP="00B72EC8">
            <w:pPr>
              <w:spacing w:line="276" w:lineRule="auto"/>
              <w:rPr>
                <w:lang w:val="cs-CZ"/>
              </w:rPr>
            </w:pPr>
          </w:p>
        </w:tc>
      </w:tr>
      <w:tr w:rsidR="001C4717" w:rsidRPr="001C4717" w14:paraId="151BDED2" w14:textId="77777777" w:rsidTr="00031E03">
        <w:tc>
          <w:tcPr>
            <w:tcW w:w="4814" w:type="dxa"/>
          </w:tcPr>
          <w:p w14:paraId="1B8EFA18" w14:textId="364C0679" w:rsidR="001C4717" w:rsidRPr="001C4717" w:rsidRDefault="001C4717" w:rsidP="001C4717">
            <w:pPr>
              <w:rPr>
                <w:lang w:val="cs-CZ"/>
              </w:rPr>
            </w:pPr>
            <w:r w:rsidRPr="001C4717">
              <w:rPr>
                <w:lang w:val="cs-CZ"/>
              </w:rPr>
              <w:t>V Říčanech dne:</w:t>
            </w:r>
            <w:r w:rsidR="00B05A20">
              <w:rPr>
                <w:lang w:val="cs-CZ"/>
              </w:rPr>
              <w:t xml:space="preserve"> </w:t>
            </w:r>
            <w:proofErr w:type="gramStart"/>
            <w:r w:rsidR="00B05A20">
              <w:rPr>
                <w:lang w:val="cs-CZ"/>
              </w:rPr>
              <w:t>22.11.2021</w:t>
            </w:r>
            <w:proofErr w:type="gramEnd"/>
          </w:p>
        </w:tc>
        <w:tc>
          <w:tcPr>
            <w:tcW w:w="4815" w:type="dxa"/>
          </w:tcPr>
          <w:p w14:paraId="571D2B88" w14:textId="1DA110B3" w:rsidR="001C4717" w:rsidRPr="001C4717" w:rsidRDefault="00B02914" w:rsidP="001C4717">
            <w:pPr>
              <w:rPr>
                <w:lang w:val="cs-CZ"/>
              </w:rPr>
            </w:pPr>
            <w:r>
              <w:rPr>
                <w:lang w:val="cs-CZ"/>
              </w:rPr>
              <w:t>V Říčanech dne:</w:t>
            </w:r>
            <w:r w:rsidR="00B05A20">
              <w:rPr>
                <w:lang w:val="cs-CZ"/>
              </w:rPr>
              <w:t xml:space="preserve"> </w:t>
            </w:r>
            <w:proofErr w:type="gramStart"/>
            <w:r w:rsidR="00B05A20">
              <w:rPr>
                <w:lang w:val="cs-CZ"/>
              </w:rPr>
              <w:t>22.11.2021</w:t>
            </w:r>
            <w:proofErr w:type="gramEnd"/>
          </w:p>
        </w:tc>
      </w:tr>
      <w:tr w:rsidR="001C4717" w:rsidRPr="001C4717" w14:paraId="2155D334" w14:textId="77777777" w:rsidTr="00031E03">
        <w:trPr>
          <w:trHeight w:val="2681"/>
        </w:trPr>
        <w:tc>
          <w:tcPr>
            <w:tcW w:w="4814" w:type="dxa"/>
          </w:tcPr>
          <w:p w14:paraId="49CFE583" w14:textId="77777777" w:rsidR="00C81032" w:rsidRDefault="00C81032" w:rsidP="00C81032">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93FCCAB" w14:textId="4430D1B2" w:rsidR="001C4717" w:rsidRPr="001C4717" w:rsidRDefault="00C81032" w:rsidP="00C81032">
            <w:pPr>
              <w:rPr>
                <w:lang w:val="cs-CZ"/>
              </w:rPr>
            </w:pPr>
            <w:r>
              <w:rPr>
                <w:lang w:val="cs-CZ"/>
              </w:rPr>
              <w:t xml:space="preserve">Tomáš Charvát </w:t>
            </w:r>
          </w:p>
        </w:tc>
        <w:tc>
          <w:tcPr>
            <w:tcW w:w="4815" w:type="dxa"/>
          </w:tcPr>
          <w:p w14:paraId="6C64E838" w14:textId="77777777" w:rsidR="001C4717" w:rsidRDefault="00B02914" w:rsidP="001C4717">
            <w:pPr>
              <w:rPr>
                <w:lang w:val="cs-CZ"/>
              </w:rPr>
            </w:pPr>
            <w:r>
              <w:rPr>
                <w:lang w:val="cs-CZ"/>
              </w:rPr>
              <w:t>Bytové družstvo 2000</w:t>
            </w:r>
          </w:p>
          <w:p w14:paraId="4F9BA6AB" w14:textId="1683ADBA" w:rsidR="00B02914" w:rsidRPr="001C4717" w:rsidRDefault="00B02914" w:rsidP="001C4717">
            <w:pPr>
              <w:rPr>
                <w:lang w:val="cs-CZ"/>
              </w:rPr>
            </w:pPr>
            <w:r>
              <w:rPr>
                <w:lang w:val="cs-CZ"/>
              </w:rPr>
              <w:t>Pavel Novák</w:t>
            </w:r>
          </w:p>
        </w:tc>
      </w:tr>
      <w:tr w:rsidR="00C81032" w:rsidRPr="001C4717" w14:paraId="577E1982" w14:textId="77777777" w:rsidTr="00C81032">
        <w:trPr>
          <w:trHeight w:val="274"/>
        </w:trPr>
        <w:tc>
          <w:tcPr>
            <w:tcW w:w="4814" w:type="dxa"/>
          </w:tcPr>
          <w:p w14:paraId="6B760522" w14:textId="470A541B" w:rsidR="00C81032" w:rsidRPr="001C4717" w:rsidRDefault="00C81032" w:rsidP="001C4717">
            <w:pPr>
              <w:rPr>
                <w:lang w:val="cs-CZ"/>
              </w:rPr>
            </w:pPr>
            <w:r w:rsidRPr="001C4717">
              <w:rPr>
                <w:lang w:val="cs-CZ"/>
              </w:rPr>
              <w:t>V Říčanech dne:</w:t>
            </w:r>
            <w:r w:rsidR="00B05A20">
              <w:rPr>
                <w:lang w:val="cs-CZ"/>
              </w:rPr>
              <w:t xml:space="preserve"> 11.11.2021</w:t>
            </w:r>
            <w:bookmarkStart w:id="1" w:name="_GoBack"/>
            <w:bookmarkEnd w:id="1"/>
          </w:p>
        </w:tc>
        <w:tc>
          <w:tcPr>
            <w:tcW w:w="4815" w:type="dxa"/>
          </w:tcPr>
          <w:p w14:paraId="29AFC750" w14:textId="77777777" w:rsidR="00C81032" w:rsidRDefault="00C81032" w:rsidP="001C4717">
            <w:pPr>
              <w:rPr>
                <w:lang w:val="cs-CZ"/>
              </w:rPr>
            </w:pPr>
          </w:p>
        </w:tc>
      </w:tr>
      <w:tr w:rsidR="00C81032" w:rsidRPr="001C4717" w14:paraId="6A224666" w14:textId="77777777" w:rsidTr="00031E03">
        <w:trPr>
          <w:trHeight w:val="2681"/>
        </w:trPr>
        <w:tc>
          <w:tcPr>
            <w:tcW w:w="4814" w:type="dxa"/>
          </w:tcPr>
          <w:p w14:paraId="2925DEDC" w14:textId="77777777" w:rsidR="009B1246" w:rsidRDefault="00C81032" w:rsidP="001C4717">
            <w:pPr>
              <w:rPr>
                <w:lang w:val="cs-CZ"/>
              </w:rPr>
            </w:pPr>
            <w:r>
              <w:rPr>
                <w:lang w:val="cs-CZ"/>
              </w:rPr>
              <w:t xml:space="preserve">Kupující: </w:t>
            </w:r>
          </w:p>
          <w:p w14:paraId="1BA57B14" w14:textId="5E562A3B" w:rsidR="00C81032" w:rsidRPr="001C4717" w:rsidRDefault="00C81032" w:rsidP="001C4717">
            <w:pPr>
              <w:rPr>
                <w:lang w:val="cs-CZ"/>
              </w:rPr>
            </w:pPr>
            <w:r>
              <w:rPr>
                <w:lang w:val="cs-CZ"/>
              </w:rPr>
              <w:fldChar w:fldCharType="begin"/>
            </w:r>
            <w:r>
              <w:rPr>
                <w:lang w:val="cs-CZ"/>
              </w:rPr>
              <w:instrText xml:space="preserve"> MERGEFIELD TITUL </w:instrText>
            </w:r>
            <w:r>
              <w:rPr>
                <w:lang w:val="cs-CZ"/>
              </w:rPr>
              <w:fldChar w:fldCharType="end"/>
            </w:r>
            <w:r>
              <w:rPr>
                <w:lang w:val="cs-CZ"/>
              </w:rPr>
              <w:t xml:space="preserve"> </w:t>
            </w:r>
            <w:r>
              <w:rPr>
                <w:lang w:val="cs-CZ"/>
              </w:rPr>
              <w:fldChar w:fldCharType="begin"/>
            </w:r>
            <w:r>
              <w:rPr>
                <w:lang w:val="cs-CZ"/>
              </w:rPr>
              <w:instrText xml:space="preserve"> MERGEFIELD JMÉNO </w:instrText>
            </w:r>
            <w:r>
              <w:rPr>
                <w:lang w:val="cs-CZ"/>
              </w:rPr>
              <w:fldChar w:fldCharType="separate"/>
            </w:r>
            <w:r w:rsidR="00A554A6" w:rsidRPr="00A57B36">
              <w:rPr>
                <w:noProof/>
                <w:lang w:val="cs-CZ"/>
              </w:rPr>
              <w:t>Jana</w:t>
            </w:r>
            <w:r>
              <w:rPr>
                <w:lang w:val="cs-CZ"/>
              </w:rPr>
              <w:fldChar w:fldCharType="end"/>
            </w:r>
            <w:r>
              <w:rPr>
                <w:lang w:val="cs-CZ"/>
              </w:rPr>
              <w:t xml:space="preserve"> </w:t>
            </w:r>
            <w:r>
              <w:rPr>
                <w:lang w:val="cs-CZ"/>
              </w:rPr>
              <w:fldChar w:fldCharType="begin"/>
            </w:r>
            <w:r>
              <w:rPr>
                <w:lang w:val="cs-CZ"/>
              </w:rPr>
              <w:instrText xml:space="preserve"> MERGEFIELD PŘÍJMENÍ </w:instrText>
            </w:r>
            <w:r>
              <w:rPr>
                <w:lang w:val="cs-CZ"/>
              </w:rPr>
              <w:fldChar w:fldCharType="separate"/>
            </w:r>
            <w:r w:rsidR="00A554A6" w:rsidRPr="00A57B36">
              <w:rPr>
                <w:noProof/>
                <w:lang w:val="cs-CZ"/>
              </w:rPr>
              <w:t>Jappelová</w:t>
            </w:r>
            <w:r>
              <w:rPr>
                <w:lang w:val="cs-CZ"/>
              </w:rPr>
              <w:fldChar w:fldCharType="end"/>
            </w:r>
          </w:p>
        </w:tc>
        <w:tc>
          <w:tcPr>
            <w:tcW w:w="4815" w:type="dxa"/>
          </w:tcPr>
          <w:p w14:paraId="366F627E" w14:textId="77777777" w:rsidR="00C81032" w:rsidRDefault="00C81032"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CF16D6">
      <w:footerReference w:type="default" r:id="rId11"/>
      <w:pgSz w:w="11909" w:h="16841"/>
      <w:pgMar w:top="993" w:right="1136" w:bottom="212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031E03" w:rsidRDefault="00031E03" w:rsidP="00D477F3">
      <w:r>
        <w:separator/>
      </w:r>
    </w:p>
  </w:endnote>
  <w:endnote w:type="continuationSeparator" w:id="0">
    <w:p w14:paraId="0EED8E6A" w14:textId="77777777" w:rsidR="00031E03" w:rsidRDefault="00031E03"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E46FD35" w:rsidR="00031E03" w:rsidRPr="00F86DBC" w:rsidRDefault="00031E03">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B05A20">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B05A20">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A554A6">
      <w:rPr>
        <w:noProof/>
        <w:sz w:val="20"/>
        <w:szCs w:val="20"/>
        <w:lang w:val="it-IT"/>
      </w:rPr>
      <w:t>Kupní smlouva - Schultz (byt)</w:t>
    </w:r>
    <w:r w:rsidRPr="00016D6C">
      <w:rPr>
        <w:sz w:val="20"/>
        <w:szCs w:val="20"/>
      </w:rPr>
      <w:fldChar w:fldCharType="end"/>
    </w:r>
    <w:r w:rsidR="00F86DBC">
      <w:rPr>
        <w:sz w:val="20"/>
        <w:szCs w:val="20"/>
        <w:lang w:val="it-IT"/>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031E03" w:rsidRDefault="00031E03" w:rsidP="00D477F3">
      <w:r>
        <w:separator/>
      </w:r>
    </w:p>
  </w:footnote>
  <w:footnote w:type="continuationSeparator" w:id="0">
    <w:p w14:paraId="07EA67DE" w14:textId="77777777" w:rsidR="00031E03" w:rsidRDefault="00031E03"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C$`"/>
    <w:viewMergedData/>
    <w:activeRecord w:val="6"/>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C$"/>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22BDD"/>
    <w:rsid w:val="00031E03"/>
    <w:rsid w:val="0007090E"/>
    <w:rsid w:val="000A3380"/>
    <w:rsid w:val="000C457B"/>
    <w:rsid w:val="000F7B84"/>
    <w:rsid w:val="00112A45"/>
    <w:rsid w:val="00187104"/>
    <w:rsid w:val="001B6367"/>
    <w:rsid w:val="001C4717"/>
    <w:rsid w:val="001D413E"/>
    <w:rsid w:val="001E7A17"/>
    <w:rsid w:val="00256344"/>
    <w:rsid w:val="00261409"/>
    <w:rsid w:val="00267EDA"/>
    <w:rsid w:val="002722E0"/>
    <w:rsid w:val="0027426C"/>
    <w:rsid w:val="002E3580"/>
    <w:rsid w:val="002E38F4"/>
    <w:rsid w:val="002E6EC6"/>
    <w:rsid w:val="002F55B5"/>
    <w:rsid w:val="00321000"/>
    <w:rsid w:val="003315DA"/>
    <w:rsid w:val="00357A13"/>
    <w:rsid w:val="00381E57"/>
    <w:rsid w:val="003C170F"/>
    <w:rsid w:val="00555202"/>
    <w:rsid w:val="005A3BCB"/>
    <w:rsid w:val="00606960"/>
    <w:rsid w:val="0065646E"/>
    <w:rsid w:val="006608BA"/>
    <w:rsid w:val="006B4BA2"/>
    <w:rsid w:val="00774E51"/>
    <w:rsid w:val="00787580"/>
    <w:rsid w:val="007C2844"/>
    <w:rsid w:val="007D7A5D"/>
    <w:rsid w:val="007E09C0"/>
    <w:rsid w:val="008322A4"/>
    <w:rsid w:val="00860699"/>
    <w:rsid w:val="00896E19"/>
    <w:rsid w:val="008C1407"/>
    <w:rsid w:val="008C5AC3"/>
    <w:rsid w:val="008F0908"/>
    <w:rsid w:val="008F4D30"/>
    <w:rsid w:val="009100DB"/>
    <w:rsid w:val="00941EB1"/>
    <w:rsid w:val="009462E0"/>
    <w:rsid w:val="00957F6E"/>
    <w:rsid w:val="00973E74"/>
    <w:rsid w:val="00987038"/>
    <w:rsid w:val="009A76B1"/>
    <w:rsid w:val="009B1246"/>
    <w:rsid w:val="009C0B7E"/>
    <w:rsid w:val="009F5CD9"/>
    <w:rsid w:val="00A268B7"/>
    <w:rsid w:val="00A314D7"/>
    <w:rsid w:val="00A438DB"/>
    <w:rsid w:val="00A4664B"/>
    <w:rsid w:val="00A554A6"/>
    <w:rsid w:val="00A61951"/>
    <w:rsid w:val="00A9281C"/>
    <w:rsid w:val="00AB6B1E"/>
    <w:rsid w:val="00AD7CCB"/>
    <w:rsid w:val="00B02914"/>
    <w:rsid w:val="00B05A20"/>
    <w:rsid w:val="00B54D97"/>
    <w:rsid w:val="00B84B44"/>
    <w:rsid w:val="00BC01D3"/>
    <w:rsid w:val="00BE5203"/>
    <w:rsid w:val="00C0253C"/>
    <w:rsid w:val="00C225A4"/>
    <w:rsid w:val="00C81032"/>
    <w:rsid w:val="00C927C4"/>
    <w:rsid w:val="00CD4EB6"/>
    <w:rsid w:val="00CF16D6"/>
    <w:rsid w:val="00D22173"/>
    <w:rsid w:val="00D35A73"/>
    <w:rsid w:val="00D477F3"/>
    <w:rsid w:val="00D53A07"/>
    <w:rsid w:val="00D5454A"/>
    <w:rsid w:val="00D94796"/>
    <w:rsid w:val="00DD0B90"/>
    <w:rsid w:val="00DD7B35"/>
    <w:rsid w:val="00DF2FFE"/>
    <w:rsid w:val="00DF5718"/>
    <w:rsid w:val="00E07136"/>
    <w:rsid w:val="00E3685C"/>
    <w:rsid w:val="00E46730"/>
    <w:rsid w:val="00E77556"/>
    <w:rsid w:val="00E97492"/>
    <w:rsid w:val="00EB7CF9"/>
    <w:rsid w:val="00F86DBC"/>
    <w:rsid w:val="00F97F31"/>
    <w:rsid w:val="00FB1180"/>
    <w:rsid w:val="00FC11C2"/>
    <w:rsid w:val="00FD5607"/>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7983">
      <w:bodyDiv w:val="1"/>
      <w:marLeft w:val="0"/>
      <w:marRight w:val="0"/>
      <w:marTop w:val="0"/>
      <w:marBottom w:val="0"/>
      <w:divBdr>
        <w:top w:val="none" w:sz="0" w:space="0" w:color="auto"/>
        <w:left w:val="none" w:sz="0" w:space="0" w:color="auto"/>
        <w:bottom w:val="none" w:sz="0" w:space="0" w:color="auto"/>
        <w:right w:val="none" w:sz="0" w:space="0" w:color="auto"/>
      </w:divBdr>
    </w:div>
    <w:div w:id="1854225545">
      <w:bodyDiv w:val="1"/>
      <w:marLeft w:val="0"/>
      <w:marRight w:val="0"/>
      <w:marTop w:val="0"/>
      <w:marBottom w:val="0"/>
      <w:divBdr>
        <w:top w:val="none" w:sz="0" w:space="0" w:color="auto"/>
        <w:left w:val="none" w:sz="0" w:space="0" w:color="auto"/>
        <w:bottom w:val="none" w:sz="0" w:space="0" w:color="auto"/>
        <w:right w:val="none" w:sz="0" w:space="0" w:color="auto"/>
      </w:divBdr>
    </w:div>
    <w:div w:id="212961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12708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2021-11-09T08:52:00Z</cp:lastPrinted>
  <dcterms:created xsi:type="dcterms:W3CDTF">2021-12-01T12:50:00Z</dcterms:created>
  <dcterms:modified xsi:type="dcterms:W3CDTF">2021-12-02T08:58:00Z</dcterms:modified>
</cp:coreProperties>
</file>