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773E0E" w:rsidRPr="00773E0E">
        <w:rPr>
          <w:rFonts w:asciiTheme="minorHAnsi" w:hAnsiTheme="minorHAnsi" w:cstheme="minorHAnsi"/>
          <w:noProof/>
          <w:color w:val="auto"/>
          <w:sz w:val="28"/>
          <w:szCs w:val="28"/>
        </w:rPr>
        <w:t>766</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w:t>
      </w:r>
      <w:proofErr w:type="spellStart"/>
      <w:r w:rsidRPr="00253956">
        <w:rPr>
          <w:rFonts w:ascii="Calibri" w:hAnsi="Calibri" w:cstheme="minorHAnsi"/>
          <w:sz w:val="20"/>
          <w:szCs w:val="20"/>
          <w:lang w:val="cs-CZ"/>
        </w:rPr>
        <w:t>Polánský</w:t>
      </w:r>
      <w:proofErr w:type="spellEnd"/>
      <w:r w:rsidRPr="00253956">
        <w:rPr>
          <w:rFonts w:ascii="Calibri" w:hAnsi="Calibri" w:cstheme="minorHAnsi"/>
          <w:sz w:val="20"/>
          <w:szCs w:val="20"/>
          <w:lang w:val="cs-CZ"/>
        </w:rPr>
        <w:t xml:space="preserve">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F361B">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proofErr w:type="gramStart"/>
      <w:r w:rsidR="00ED3EE3">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Radek</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Šorm</w:t>
      </w:r>
      <w:r>
        <w:rPr>
          <w:rFonts w:ascii="Calibri" w:hAnsi="Calibri" w:cstheme="minorHAnsi"/>
          <w:sz w:val="20"/>
          <w:szCs w:val="20"/>
          <w:lang w:val="cs-CZ"/>
        </w:rPr>
        <w:fldChar w:fldCharType="end"/>
      </w:r>
      <w:bookmarkStart w:id="2" w:name="_GoBack"/>
      <w:bookmarkEnd w:id="2"/>
    </w:p>
    <w:p w14:paraId="70236ADD" w14:textId="342C4333" w:rsidR="00D22173" w:rsidRPr="009F5CD9" w:rsidRDefault="00ED3EE3"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proofErr w:type="spellEnd"/>
      <w:r w:rsidR="00A61951" w:rsidRPr="009F5CD9">
        <w:rPr>
          <w:rFonts w:ascii="Calibri" w:hAnsi="Calibri" w:cstheme="minorHAnsi"/>
          <w:sz w:val="20"/>
          <w:szCs w:val="20"/>
          <w:lang w:val="cs-CZ"/>
        </w:rPr>
        <w:t>.</w:t>
      </w:r>
      <w:proofErr w:type="gramEnd"/>
      <w:r w:rsidR="00031E03">
        <w:rPr>
          <w:rFonts w:ascii="Calibri" w:hAnsi="Calibri" w:cstheme="minorHAnsi"/>
          <w:sz w:val="20"/>
          <w:szCs w:val="20"/>
          <w:lang w:val="cs-CZ"/>
        </w:rPr>
        <w:t xml:space="preserve">: </w:t>
      </w:r>
      <w:r w:rsidR="00906DC8">
        <w:rPr>
          <w:rFonts w:ascii="Calibri" w:hAnsi="Calibri" w:cstheme="minorHAnsi"/>
          <w:sz w:val="20"/>
          <w:szCs w:val="20"/>
          <w:lang w:val="cs-CZ"/>
        </w:rPr>
        <w:t>76</w:t>
      </w:r>
      <w:r w:rsidR="00906DC8" w:rsidRPr="00906DC8">
        <w:rPr>
          <w:rFonts w:ascii="Calibri" w:hAnsi="Calibri" w:cstheme="minorHAnsi"/>
          <w:sz w:val="20"/>
          <w:szCs w:val="20"/>
          <w:highlight w:val="black"/>
          <w:lang w:val="cs-CZ"/>
        </w:rPr>
        <w:t>……………………</w:t>
      </w:r>
      <w:proofErr w:type="gramStart"/>
      <w:r w:rsidR="00906DC8" w:rsidRPr="00906DC8">
        <w:rPr>
          <w:rFonts w:ascii="Calibri" w:hAnsi="Calibri" w:cstheme="minorHAnsi"/>
          <w:sz w:val="20"/>
          <w:szCs w:val="20"/>
          <w:highlight w:val="black"/>
          <w:lang w:val="cs-CZ"/>
        </w:rPr>
        <w:t>…..</w:t>
      </w:r>
      <w:r w:rsidR="00A61951" w:rsidRPr="00906DC8">
        <w:rPr>
          <w:rFonts w:ascii="Calibri" w:hAnsi="Calibri" w:cstheme="minorHAnsi"/>
          <w:sz w:val="20"/>
          <w:szCs w:val="20"/>
          <w:highlight w:val="black"/>
          <w:lang w:val="cs-CZ"/>
        </w:rPr>
        <w:t>,</w:t>
      </w:r>
      <w:proofErr w:type="gramEnd"/>
    </w:p>
    <w:p w14:paraId="0596CB57" w14:textId="02569E43"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906DC8" w:rsidRPr="00906DC8">
        <w:rPr>
          <w:rFonts w:ascii="Calibri" w:hAnsi="Calibri" w:cstheme="minorHAnsi"/>
          <w:noProof/>
          <w:sz w:val="20"/>
          <w:szCs w:val="20"/>
          <w:highlight w:val="black"/>
          <w:lang w:val="cs-CZ"/>
        </w:rPr>
        <w:t>………………………………….</w:t>
      </w:r>
      <w:r w:rsidR="00773E0E" w:rsidRPr="004F6AD2">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15</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15</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773E0E" w:rsidRPr="00773E0E">
        <w:rPr>
          <w:rFonts w:asciiTheme="minorHAnsi" w:hAnsiTheme="minorHAnsi" w:cstheme="minorHAnsi"/>
          <w:noProof/>
          <w:color w:val="auto"/>
          <w:sz w:val="20"/>
          <w:szCs w:val="20"/>
          <w:lang w:val="cs-CZ"/>
        </w:rPr>
        <w:t>15</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773E0E" w:rsidRPr="00773E0E">
        <w:rPr>
          <w:rFonts w:asciiTheme="minorHAnsi" w:hAnsiTheme="minorHAnsi" w:cstheme="minorHAnsi"/>
          <w:noProof/>
          <w:color w:val="auto"/>
          <w:sz w:val="20"/>
          <w:szCs w:val="20"/>
          <w:lang w:val="cs-CZ"/>
        </w:rPr>
        <w:t>1+kk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773E0E" w:rsidRPr="00773E0E">
        <w:rPr>
          <w:rFonts w:asciiTheme="minorHAnsi" w:hAnsiTheme="minorHAnsi" w:cstheme="minorHAnsi"/>
          <w:noProof/>
          <w:color w:val="auto"/>
          <w:sz w:val="20"/>
          <w:szCs w:val="20"/>
          <w:lang w:val="cs-CZ"/>
        </w:rPr>
        <w:t>ve 4.</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773E0E">
        <w:rPr>
          <w:rFonts w:asciiTheme="minorHAnsi" w:hAnsiTheme="minorHAnsi" w:cstheme="minorHAnsi"/>
          <w:noProof/>
          <w:color w:val="auto"/>
          <w:sz w:val="20"/>
          <w:szCs w:val="20"/>
          <w:lang w:val="cs-CZ"/>
        </w:rPr>
        <w:t>26,80</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773E0E" w:rsidRPr="004F6AD2">
        <w:rPr>
          <w:rFonts w:ascii="Calibri" w:hAnsi="Calibri" w:cstheme="minorHAnsi"/>
          <w:noProof/>
          <w:w w:val="105"/>
          <w:sz w:val="20"/>
          <w:szCs w:val="20"/>
          <w:lang w:val="cs-CZ"/>
        </w:rPr>
        <w:t>15</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773E0E" w:rsidRPr="004F6AD2">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773E0E">
              <w:rPr>
                <w:rFonts w:cstheme="minorHAnsi"/>
                <w:noProof/>
                <w:sz w:val="20"/>
                <w:szCs w:val="20"/>
                <w:lang w:val="cs-CZ"/>
              </w:rPr>
              <w:t>19,35</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773E0E" w:rsidRPr="004F6AD2">
              <w:rPr>
                <w:rFonts w:ascii="Calibri" w:hAnsi="Calibri" w:cstheme="minorHAnsi"/>
                <w:noProof/>
                <w:w w:val="105"/>
                <w:sz w:val="20"/>
                <w:szCs w:val="20"/>
                <w:lang w:val="cs-CZ"/>
              </w:rPr>
              <w:t>koupelna+WC</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773E0E">
              <w:rPr>
                <w:rFonts w:cstheme="minorHAnsi"/>
                <w:noProof/>
                <w:sz w:val="20"/>
                <w:szCs w:val="20"/>
                <w:lang w:val="cs-CZ"/>
              </w:rPr>
              <w:t>03,68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773E0E" w:rsidRPr="004F6AD2">
              <w:rPr>
                <w:rFonts w:ascii="Calibri" w:hAnsi="Calibri" w:cstheme="minorHAnsi"/>
                <w:noProof/>
                <w:w w:val="105"/>
                <w:sz w:val="20"/>
                <w:szCs w:val="20"/>
                <w:lang w:val="cs-CZ"/>
              </w:rPr>
              <w:t>předsíň</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773E0E">
              <w:rPr>
                <w:rFonts w:cstheme="minorHAnsi"/>
                <w:noProof/>
                <w:sz w:val="20"/>
                <w:szCs w:val="20"/>
                <w:lang w:val="cs-CZ"/>
              </w:rPr>
              <w:t>02,62</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773E0E" w:rsidRPr="004F6AD2">
              <w:rPr>
                <w:rFonts w:ascii="Calibri" w:hAnsi="Calibri" w:cstheme="minorHAnsi"/>
                <w:noProof/>
                <w:w w:val="105"/>
                <w:sz w:val="20"/>
                <w:szCs w:val="20"/>
                <w:lang w:val="cs-CZ"/>
              </w:rPr>
              <w:t>sklípek</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773E0E">
              <w:rPr>
                <w:rFonts w:cstheme="minorHAnsi"/>
                <w:noProof/>
                <w:sz w:val="20"/>
                <w:szCs w:val="20"/>
                <w:lang w:val="cs-CZ"/>
              </w:rPr>
              <w:t>1,15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773E0E" w:rsidRPr="004F6AD2">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773E0E" w:rsidRPr="004F6AD2">
        <w:rPr>
          <w:rFonts w:cstheme="minorHAnsi"/>
          <w:noProof/>
          <w:sz w:val="20"/>
          <w:szCs w:val="20"/>
          <w:lang w:val="cs-CZ"/>
        </w:rPr>
        <w:t>2680/350446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773E0E">
        <w:rPr>
          <w:rFonts w:asciiTheme="minorHAnsi" w:hAnsiTheme="minorHAnsi" w:cstheme="minorHAnsi"/>
          <w:noProof/>
          <w:color w:val="auto"/>
          <w:sz w:val="20"/>
          <w:szCs w:val="20"/>
          <w:lang w:val="cs-CZ"/>
        </w:rPr>
        <w:t>26,80</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proofErr w:type="gramStart"/>
        <w:r w:rsidRPr="009F5CD9">
          <w:rPr>
            <w:rFonts w:asciiTheme="minorHAnsi" w:hAnsiTheme="minorHAnsi" w:cstheme="minorHAnsi"/>
            <w:color w:val="auto"/>
            <w:sz w:val="20"/>
            <w:szCs w:val="20"/>
            <w:lang w:val="cs-CZ"/>
          </w:rPr>
          <w:t>parc</w:t>
        </w:r>
        <w:proofErr w:type="gramEnd"/>
        <w:r w:rsidRPr="009F5CD9">
          <w:rPr>
            <w:rFonts w:asciiTheme="minorHAnsi" w:hAnsiTheme="minorHAnsi" w:cstheme="minorHAnsi"/>
            <w:color w:val="auto"/>
            <w:sz w:val="20"/>
            <w:szCs w:val="20"/>
            <w:lang w:val="cs-CZ"/>
          </w:rPr>
          <w:t>.</w:t>
        </w:r>
        <w:proofErr w:type="gramStart"/>
        <w:r w:rsidRPr="009F5CD9">
          <w:rPr>
            <w:rFonts w:asciiTheme="minorHAnsi" w:hAnsiTheme="minorHAnsi" w:cstheme="minorHAnsi"/>
            <w:color w:val="auto"/>
            <w:sz w:val="20"/>
            <w:szCs w:val="20"/>
            <w:lang w:val="cs-CZ"/>
          </w:rPr>
          <w:t>č.</w:t>
        </w:r>
        <w:proofErr w:type="gramEnd"/>
        <w:r w:rsidRPr="009F5CD9">
          <w:rPr>
            <w:rFonts w:asciiTheme="minorHAnsi" w:hAnsiTheme="minorHAnsi" w:cstheme="minorHAnsi"/>
            <w:color w:val="auto"/>
            <w:sz w:val="20"/>
            <w:szCs w:val="20"/>
            <w:lang w:val="cs-CZ"/>
          </w:rPr>
          <w:t>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773E0E" w:rsidRPr="004F6AD2">
        <w:rPr>
          <w:rFonts w:cstheme="minorHAnsi"/>
          <w:noProof/>
          <w:sz w:val="20"/>
          <w:szCs w:val="20"/>
          <w:lang w:val="cs-CZ"/>
        </w:rPr>
        <w:t>2680/350446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773E0E" w:rsidRPr="004F6AD2">
        <w:rPr>
          <w:rFonts w:cstheme="minorHAnsi"/>
          <w:noProof/>
          <w:sz w:val="20"/>
          <w:szCs w:val="20"/>
          <w:lang w:val="cs-CZ"/>
        </w:rPr>
        <w:t>15</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3" w:name="_Hlk83221433"/>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w:t>
      </w:r>
      <w:proofErr w:type="gramStart"/>
      <w:r w:rsidR="005B2BCC">
        <w:rPr>
          <w:rFonts w:ascii="Calibri" w:hAnsi="Calibri" w:cstheme="minorHAnsi"/>
          <w:sz w:val="20"/>
          <w:szCs w:val="20"/>
          <w:lang w:val="cs-CZ"/>
        </w:rPr>
        <w:t>3.4.2017</w:t>
      </w:r>
      <w:proofErr w:type="gramEnd"/>
      <w:r w:rsidR="005B2BCC">
        <w:rPr>
          <w:rFonts w:ascii="Calibri" w:hAnsi="Calibri" w:cstheme="minorHAnsi"/>
          <w:sz w:val="20"/>
          <w:szCs w:val="20"/>
          <w:lang w:val="cs-CZ"/>
        </w:rPr>
        <w:t xml:space="preserve">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w:t>
      </w:r>
      <w:proofErr w:type="spellStart"/>
      <w:r w:rsidR="005B2BCC">
        <w:rPr>
          <w:rFonts w:ascii="Calibri" w:hAnsi="Calibri" w:cstheme="minorHAnsi"/>
          <w:sz w:val="20"/>
          <w:szCs w:val="20"/>
          <w:lang w:val="cs-CZ"/>
        </w:rPr>
        <w:t>Pedersen</w:t>
      </w:r>
      <w:proofErr w:type="spellEnd"/>
      <w:r w:rsidR="005B2BCC">
        <w:rPr>
          <w:rFonts w:ascii="Calibri" w:hAnsi="Calibri" w:cstheme="minorHAnsi"/>
          <w:sz w:val="20"/>
          <w:szCs w:val="20"/>
          <w:lang w:val="cs-CZ"/>
        </w:rPr>
        <w:t xml:space="preserve">,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w:t>
      </w:r>
      <w:proofErr w:type="gramStart"/>
      <w:r w:rsidR="005B2BCC">
        <w:rPr>
          <w:rFonts w:ascii="Calibri" w:hAnsi="Calibri" w:cstheme="minorHAnsi"/>
          <w:sz w:val="20"/>
          <w:szCs w:val="20"/>
          <w:lang w:val="cs-CZ"/>
        </w:rPr>
        <w:t>energie</w:t>
      </w:r>
      <w:proofErr w:type="gramEnd"/>
      <w:r w:rsidR="005B2BCC">
        <w:rPr>
          <w:rFonts w:ascii="Calibri" w:hAnsi="Calibri" w:cstheme="minorHAnsi"/>
          <w:sz w:val="20"/>
          <w:szCs w:val="20"/>
          <w:lang w:val="cs-CZ"/>
        </w:rPr>
        <w:t xml:space="preserv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w:t>
      </w:r>
      <w:proofErr w:type="gramStart"/>
      <w:r w:rsidR="005B2BCC">
        <w:rPr>
          <w:rFonts w:ascii="Calibri" w:hAnsi="Calibri" w:cstheme="minorHAnsi"/>
          <w:sz w:val="20"/>
          <w:szCs w:val="20"/>
          <w:lang w:val="cs-CZ"/>
        </w:rPr>
        <w:t>1.4.2021</w:t>
      </w:r>
      <w:proofErr w:type="gramEnd"/>
      <w:r w:rsidR="005B2BCC">
        <w:rPr>
          <w:rFonts w:ascii="Calibri" w:hAnsi="Calibri" w:cstheme="minorHAnsi"/>
          <w:sz w:val="20"/>
          <w:szCs w:val="20"/>
          <w:lang w:val="cs-CZ"/>
        </w:rPr>
        <w:t xml:space="preserve"> se společností </w:t>
      </w:r>
      <w:proofErr w:type="spellStart"/>
      <w:r>
        <w:rPr>
          <w:rFonts w:ascii="Calibri" w:hAnsi="Calibri" w:cstheme="minorHAnsi"/>
          <w:sz w:val="20"/>
          <w:szCs w:val="20"/>
          <w:lang w:val="cs-CZ"/>
        </w:rPr>
        <w:t>i</w:t>
      </w:r>
      <w:r w:rsidR="005B2BCC">
        <w:rPr>
          <w:rFonts w:ascii="Calibri" w:hAnsi="Calibri" w:cstheme="minorHAnsi"/>
          <w:sz w:val="20"/>
          <w:szCs w:val="20"/>
          <w:lang w:val="cs-CZ"/>
        </w:rPr>
        <w:t>nnogy</w:t>
      </w:r>
      <w:proofErr w:type="spellEnd"/>
      <w:r w:rsidR="005B2BCC">
        <w:rPr>
          <w:rFonts w:ascii="Calibri" w:hAnsi="Calibri" w:cstheme="minorHAnsi"/>
          <w:sz w:val="20"/>
          <w:szCs w:val="20"/>
          <w:lang w:val="cs-CZ"/>
        </w:rPr>
        <w:t xml:space="preserve">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 xml:space="preserve">1. </w:t>
      </w:r>
      <w:proofErr w:type="spellStart"/>
      <w:r w:rsidR="005B2BCC">
        <w:rPr>
          <w:rFonts w:ascii="Calibri" w:hAnsi="Calibri" w:cstheme="minorHAnsi"/>
          <w:sz w:val="20"/>
          <w:szCs w:val="20"/>
          <w:lang w:val="cs-CZ"/>
        </w:rPr>
        <w:t>SčV</w:t>
      </w:r>
      <w:proofErr w:type="spellEnd"/>
      <w:r w:rsidR="005B2BCC">
        <w:rPr>
          <w:rFonts w:ascii="Calibri" w:hAnsi="Calibri" w:cstheme="minorHAnsi"/>
          <w:sz w:val="20"/>
          <w:szCs w:val="20"/>
          <w:lang w:val="cs-CZ"/>
        </w:rPr>
        <w:t xml:space="preserve">, a.s. se sídlem Ke </w:t>
      </w:r>
      <w:proofErr w:type="spellStart"/>
      <w:r w:rsidR="005B2BCC">
        <w:rPr>
          <w:rFonts w:ascii="Calibri" w:hAnsi="Calibri" w:cstheme="minorHAnsi"/>
          <w:sz w:val="20"/>
          <w:szCs w:val="20"/>
          <w:lang w:val="cs-CZ"/>
        </w:rPr>
        <w:t>Kablu</w:t>
      </w:r>
      <w:proofErr w:type="spellEnd"/>
      <w:r w:rsidR="005B2BCC">
        <w:rPr>
          <w:rFonts w:ascii="Calibri" w:hAnsi="Calibri" w:cstheme="minorHAnsi"/>
          <w:sz w:val="20"/>
          <w:szCs w:val="20"/>
          <w:lang w:val="cs-CZ"/>
        </w:rPr>
        <w:t xml:space="preserve">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 xml:space="preserve">ervis výtahů – Smlouva o dílo č. 1937792- ze dne </w:t>
      </w:r>
      <w:proofErr w:type="gramStart"/>
      <w:r w:rsidR="005B2BCC">
        <w:rPr>
          <w:rFonts w:ascii="Calibri" w:hAnsi="Calibri" w:cstheme="minorHAnsi"/>
          <w:sz w:val="20"/>
          <w:szCs w:val="20"/>
          <w:lang w:val="cs-CZ"/>
        </w:rPr>
        <w:t>17.7.2020</w:t>
      </w:r>
      <w:proofErr w:type="gramEnd"/>
      <w:r w:rsidR="005B2BCC">
        <w:rPr>
          <w:rFonts w:ascii="Calibri" w:hAnsi="Calibri" w:cstheme="minorHAnsi"/>
          <w:sz w:val="20"/>
          <w:szCs w:val="20"/>
          <w:lang w:val="cs-CZ"/>
        </w:rPr>
        <w:t>,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3"/>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Návrh na vklad do katastru nemovitostí zpracují a podají smluvní strany do 14 dnů po popisu této smlouvy. Náklady a poplatky </w:t>
      </w:r>
      <w:proofErr w:type="gramStart"/>
      <w:r w:rsidRPr="009F5CD9">
        <w:rPr>
          <w:rFonts w:ascii="Calibri" w:hAnsi="Calibri" w:cstheme="minorHAnsi"/>
          <w:color w:val="auto"/>
          <w:sz w:val="20"/>
          <w:szCs w:val="20"/>
          <w:lang w:val="cs-CZ"/>
        </w:rPr>
        <w:t>spojené s vkladem</w:t>
      </w:r>
      <w:proofErr w:type="gramEnd"/>
      <w:r w:rsidRPr="009F5CD9">
        <w:rPr>
          <w:rFonts w:ascii="Calibri" w:hAnsi="Calibri" w:cstheme="minorHAnsi"/>
          <w:color w:val="auto"/>
          <w:sz w:val="20"/>
          <w:szCs w:val="20"/>
          <w:lang w:val="cs-CZ"/>
        </w:rPr>
        <w:t xml:space="preserve">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Smluvní strany </w:t>
      </w:r>
      <w:proofErr w:type="gramStart"/>
      <w:r w:rsidRPr="009F5CD9">
        <w:rPr>
          <w:rFonts w:ascii="Calibri" w:hAnsi="Calibri" w:cstheme="minorHAnsi"/>
          <w:color w:val="auto"/>
          <w:sz w:val="20"/>
          <w:szCs w:val="20"/>
          <w:lang w:val="cs-CZ"/>
        </w:rPr>
        <w:t>prohlašují že</w:t>
      </w:r>
      <w:proofErr w:type="gramEnd"/>
      <w:r w:rsidRPr="009F5CD9">
        <w:rPr>
          <w:rFonts w:ascii="Calibri" w:hAnsi="Calibr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773E0E">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773E0E">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7A16E792"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773E0E">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773E0E" w:rsidRPr="00773E0E">
        <w:rPr>
          <w:rFonts w:ascii="Calibri" w:hAnsi="Calibri" w:cstheme="minorHAnsi"/>
          <w:noProof/>
          <w:color w:val="auto"/>
          <w:sz w:val="20"/>
          <w:szCs w:val="20"/>
          <w:lang w:val="cs-CZ"/>
        </w:rPr>
        <w:t>29-09-001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5002185A"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906DC8">
              <w:rPr>
                <w:rFonts w:ascii="Calibri" w:hAnsi="Calibri" w:cstheme="minorHAnsi"/>
                <w:sz w:val="20"/>
                <w:szCs w:val="20"/>
                <w:lang w:val="cs-CZ"/>
              </w:rPr>
              <w:t xml:space="preserve"> </w:t>
            </w:r>
            <w:proofErr w:type="gramStart"/>
            <w:r w:rsidR="00906DC8">
              <w:rPr>
                <w:rFonts w:ascii="Calibri" w:hAnsi="Calibri" w:cstheme="minorHAnsi"/>
                <w:sz w:val="20"/>
                <w:szCs w:val="20"/>
                <w:lang w:val="cs-CZ"/>
              </w:rPr>
              <w:t>30.11.2021</w:t>
            </w:r>
            <w:proofErr w:type="gramEnd"/>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7B6D0E62" w:rsidR="00FC569E" w:rsidRPr="001C4717" w:rsidRDefault="00FC569E" w:rsidP="001C4717">
            <w:pPr>
              <w:rPr>
                <w:lang w:val="cs-CZ"/>
              </w:rPr>
            </w:pPr>
            <w:r w:rsidRPr="001C4717">
              <w:rPr>
                <w:lang w:val="cs-CZ"/>
              </w:rPr>
              <w:t>V Říčanech dne:</w:t>
            </w:r>
            <w:r w:rsidR="00906DC8">
              <w:rPr>
                <w:lang w:val="cs-CZ"/>
              </w:rPr>
              <w:t xml:space="preserve"> </w:t>
            </w:r>
            <w:proofErr w:type="gramStart"/>
            <w:r w:rsidR="00906DC8">
              <w:rPr>
                <w:lang w:val="cs-CZ"/>
              </w:rPr>
              <w:t>22.11.2021</w:t>
            </w:r>
            <w:proofErr w:type="gramEnd"/>
          </w:p>
        </w:tc>
        <w:tc>
          <w:tcPr>
            <w:tcW w:w="4815" w:type="dxa"/>
          </w:tcPr>
          <w:p w14:paraId="3F6B72C5" w14:textId="21CDC6B5" w:rsidR="00FC569E" w:rsidRPr="001C4717" w:rsidRDefault="00FC569E" w:rsidP="001C4717">
            <w:pPr>
              <w:rPr>
                <w:lang w:val="cs-CZ"/>
              </w:rPr>
            </w:pPr>
            <w:r w:rsidRPr="001C4717">
              <w:rPr>
                <w:lang w:val="cs-CZ"/>
              </w:rPr>
              <w:t>V Říčanech dne:</w:t>
            </w:r>
            <w:r w:rsidR="00906DC8">
              <w:rPr>
                <w:lang w:val="cs-CZ"/>
              </w:rPr>
              <w:t xml:space="preserve"> </w:t>
            </w:r>
            <w:proofErr w:type="gramStart"/>
            <w:r w:rsidR="00906DC8">
              <w:rPr>
                <w:lang w:val="cs-CZ"/>
              </w:rPr>
              <w:t>22.11.2021</w:t>
            </w:r>
            <w:proofErr w:type="gramEnd"/>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6E4CC007" w:rsidR="001C4717" w:rsidRPr="001C4717" w:rsidRDefault="001C4717" w:rsidP="001C4717">
            <w:pPr>
              <w:rPr>
                <w:lang w:val="cs-CZ"/>
              </w:rPr>
            </w:pPr>
            <w:r w:rsidRPr="001C4717">
              <w:rPr>
                <w:lang w:val="cs-CZ"/>
              </w:rPr>
              <w:t>V Říčanech dne:</w:t>
            </w:r>
            <w:r w:rsidR="00906DC8">
              <w:rPr>
                <w:lang w:val="cs-CZ"/>
              </w:rPr>
              <w:t xml:space="preserve"> </w:t>
            </w:r>
            <w:proofErr w:type="gramStart"/>
            <w:r w:rsidR="00906DC8">
              <w:rPr>
                <w:lang w:val="cs-CZ"/>
              </w:rPr>
              <w:t>12.11.2021</w:t>
            </w:r>
            <w:proofErr w:type="gramEnd"/>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773E0E" w:rsidRPr="004F6AD2">
              <w:rPr>
                <w:noProof/>
                <w:lang w:val="cs-CZ"/>
              </w:rPr>
              <w:t>Radek</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773E0E" w:rsidRPr="004F6AD2">
              <w:rPr>
                <w:noProof/>
                <w:lang w:val="cs-CZ"/>
              </w:rPr>
              <w:t>Šorm</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906DC8">
      <w:rPr>
        <w:noProof/>
        <w:sz w:val="20"/>
        <w:szCs w:val="20"/>
        <w:lang w:val="it-IT"/>
      </w:rPr>
      <w:t>5</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906DC8">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773E0E">
      <w:rPr>
        <w:noProof/>
        <w:sz w:val="20"/>
        <w:szCs w:val="20"/>
        <w:lang w:val="it-IT"/>
      </w:rPr>
      <w:t>KS SINGL VZOR A</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14"/>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1E03"/>
    <w:rsid w:val="000336BC"/>
    <w:rsid w:val="000805F6"/>
    <w:rsid w:val="000A7AFB"/>
    <w:rsid w:val="000C457B"/>
    <w:rsid w:val="00133E03"/>
    <w:rsid w:val="001840E2"/>
    <w:rsid w:val="00187104"/>
    <w:rsid w:val="001C4717"/>
    <w:rsid w:val="001E183D"/>
    <w:rsid w:val="001F01E1"/>
    <w:rsid w:val="002216C3"/>
    <w:rsid w:val="00253956"/>
    <w:rsid w:val="002722E0"/>
    <w:rsid w:val="0027426C"/>
    <w:rsid w:val="002F3460"/>
    <w:rsid w:val="002F6FC5"/>
    <w:rsid w:val="003240EC"/>
    <w:rsid w:val="00350033"/>
    <w:rsid w:val="00357A13"/>
    <w:rsid w:val="00397FA5"/>
    <w:rsid w:val="004252B6"/>
    <w:rsid w:val="00480915"/>
    <w:rsid w:val="004D0FB3"/>
    <w:rsid w:val="005861CC"/>
    <w:rsid w:val="005956B3"/>
    <w:rsid w:val="00596C0C"/>
    <w:rsid w:val="005B2BCC"/>
    <w:rsid w:val="005B58D5"/>
    <w:rsid w:val="005B7744"/>
    <w:rsid w:val="005D35D4"/>
    <w:rsid w:val="00632AE2"/>
    <w:rsid w:val="006B4BA2"/>
    <w:rsid w:val="006C73C9"/>
    <w:rsid w:val="006F361B"/>
    <w:rsid w:val="006F6DAC"/>
    <w:rsid w:val="007171AD"/>
    <w:rsid w:val="00727F9D"/>
    <w:rsid w:val="00733966"/>
    <w:rsid w:val="00767B09"/>
    <w:rsid w:val="00773E0E"/>
    <w:rsid w:val="007D7A5D"/>
    <w:rsid w:val="007E09C0"/>
    <w:rsid w:val="00860699"/>
    <w:rsid w:val="008C5AC3"/>
    <w:rsid w:val="008D6F5F"/>
    <w:rsid w:val="008E2549"/>
    <w:rsid w:val="008E3B5E"/>
    <w:rsid w:val="00906DC8"/>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B52328"/>
    <w:rsid w:val="00B81AE4"/>
    <w:rsid w:val="00BC01D3"/>
    <w:rsid w:val="00BE0FC0"/>
    <w:rsid w:val="00BE5203"/>
    <w:rsid w:val="00C03795"/>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2468</Words>
  <Characters>14566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2021-10-29T07:44:00Z</cp:lastPrinted>
  <dcterms:created xsi:type="dcterms:W3CDTF">2021-12-01T09:26:00Z</dcterms:created>
  <dcterms:modified xsi:type="dcterms:W3CDTF">2021-12-01T10:23:00Z</dcterms:modified>
</cp:coreProperties>
</file>