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EC5" w:rsidRPr="001B608B" w:rsidRDefault="00A84EC5" w:rsidP="00A84EC5">
      <w:pPr>
        <w:pStyle w:val="Standarduser"/>
        <w:jc w:val="center"/>
        <w:rPr>
          <w:rFonts w:ascii="Calibri" w:hAnsi="Calibri"/>
          <w:b/>
          <w:sz w:val="36"/>
          <w:szCs w:val="36"/>
        </w:rPr>
      </w:pPr>
    </w:p>
    <w:p w:rsidR="00A84EC5" w:rsidRPr="001B608B" w:rsidRDefault="00A84EC5" w:rsidP="00A84EC5">
      <w:pPr>
        <w:pStyle w:val="Standarduser"/>
        <w:jc w:val="center"/>
        <w:rPr>
          <w:rFonts w:ascii="Calibri" w:hAnsi="Calibri"/>
          <w:b/>
          <w:sz w:val="36"/>
          <w:szCs w:val="36"/>
        </w:rPr>
      </w:pPr>
      <w:r w:rsidRPr="001B608B">
        <w:rPr>
          <w:rFonts w:ascii="Calibri" w:hAnsi="Calibri"/>
          <w:b/>
          <w:sz w:val="36"/>
          <w:szCs w:val="36"/>
        </w:rPr>
        <w:t>SMLOUVA O POSKYTOVÁNÍ SLUŽEB</w:t>
      </w:r>
    </w:p>
    <w:p w:rsidR="00A84EC5" w:rsidRPr="001B608B" w:rsidRDefault="00A84EC5" w:rsidP="00A84EC5">
      <w:pPr>
        <w:rPr>
          <w:rFonts w:ascii="Calibri" w:hAnsi="Calibri"/>
          <w:b/>
        </w:rPr>
      </w:pPr>
    </w:p>
    <w:p w:rsidR="00A84EC5" w:rsidRPr="001B608B" w:rsidRDefault="00A84EC5" w:rsidP="00A84EC5">
      <w:pPr>
        <w:rPr>
          <w:rFonts w:ascii="Calibri" w:hAnsi="Calibri"/>
          <w:b/>
        </w:rPr>
      </w:pPr>
    </w:p>
    <w:p w:rsidR="00A84EC5" w:rsidRPr="001B608B" w:rsidRDefault="00A84EC5" w:rsidP="00A84EC5">
      <w:pPr>
        <w:rPr>
          <w:rFonts w:ascii="Calibri" w:hAnsi="Calibri"/>
          <w:b/>
        </w:rPr>
      </w:pPr>
    </w:p>
    <w:p w:rsidR="00A84EC5" w:rsidRPr="001B608B" w:rsidRDefault="00A84EC5" w:rsidP="00A84EC5">
      <w:pPr>
        <w:pStyle w:val="Bezmezer"/>
        <w:rPr>
          <w:b/>
          <w:sz w:val="24"/>
          <w:szCs w:val="24"/>
        </w:rPr>
      </w:pPr>
      <w:r w:rsidRPr="001B608B">
        <w:rPr>
          <w:b/>
          <w:sz w:val="24"/>
          <w:szCs w:val="24"/>
        </w:rPr>
        <w:t>PAP PARDUBICE o.p.s.</w:t>
      </w:r>
    </w:p>
    <w:p w:rsidR="00A84EC5" w:rsidRPr="001B608B" w:rsidRDefault="00A84EC5" w:rsidP="00A84EC5">
      <w:pPr>
        <w:rPr>
          <w:rFonts w:ascii="Calibri" w:hAnsi="Calibri"/>
        </w:rPr>
      </w:pPr>
      <w:r w:rsidRPr="001B608B">
        <w:rPr>
          <w:rFonts w:ascii="Calibri" w:hAnsi="Calibri"/>
        </w:rPr>
        <w:t>se sídlem: Jiráskova 2664, 530 02 Pardubice</w:t>
      </w:r>
      <w:r w:rsidRPr="001B608B">
        <w:rPr>
          <w:rFonts w:ascii="Calibri" w:hAnsi="Calibri"/>
        </w:rPr>
        <w:br/>
        <w:t xml:space="preserve">zapsaná: v rejstříku obecně prospěšných společností </w:t>
      </w:r>
      <w:proofErr w:type="spellStart"/>
      <w:proofErr w:type="gramStart"/>
      <w:r w:rsidRPr="001B608B">
        <w:rPr>
          <w:rFonts w:ascii="Calibri" w:hAnsi="Calibri"/>
        </w:rPr>
        <w:t>sp.zn</w:t>
      </w:r>
      <w:proofErr w:type="spellEnd"/>
      <w:r w:rsidRPr="001B608B">
        <w:rPr>
          <w:rFonts w:ascii="Calibri" w:hAnsi="Calibri"/>
        </w:rPr>
        <w:t>.</w:t>
      </w:r>
      <w:proofErr w:type="gramEnd"/>
      <w:r w:rsidRPr="001B608B">
        <w:rPr>
          <w:rFonts w:ascii="Calibri" w:hAnsi="Calibri"/>
        </w:rPr>
        <w:t xml:space="preserve"> O 252 vedená u Krajského soudu v Hradci Králové</w:t>
      </w:r>
      <w:r w:rsidRPr="001B608B">
        <w:rPr>
          <w:rFonts w:ascii="Calibri" w:hAnsi="Calibri"/>
        </w:rPr>
        <w:br/>
        <w:t>zastoupená: Jiřím Vysoudilem – ředitelem společnosti</w:t>
      </w:r>
      <w:r w:rsidRPr="001B608B">
        <w:rPr>
          <w:rFonts w:ascii="Calibri" w:hAnsi="Calibri"/>
        </w:rPr>
        <w:br/>
        <w:t>IČ: 288 25 781</w:t>
      </w:r>
      <w:r w:rsidRPr="001B608B">
        <w:rPr>
          <w:rFonts w:ascii="Calibri" w:hAnsi="Calibri"/>
        </w:rPr>
        <w:br/>
        <w:t>DIČ: CZ28825781 (dále jen poskytovatel)</w:t>
      </w:r>
    </w:p>
    <w:p w:rsidR="00A84EC5" w:rsidRPr="001B608B" w:rsidRDefault="00A84EC5" w:rsidP="00A84EC5">
      <w:pPr>
        <w:rPr>
          <w:rFonts w:ascii="Calibri" w:hAnsi="Calibri"/>
        </w:rPr>
      </w:pPr>
    </w:p>
    <w:p w:rsidR="00A84EC5" w:rsidRPr="001B608B" w:rsidRDefault="00A84EC5" w:rsidP="00A84EC5">
      <w:pPr>
        <w:rPr>
          <w:rFonts w:ascii="Calibri" w:hAnsi="Calibri"/>
        </w:rPr>
      </w:pPr>
    </w:p>
    <w:p w:rsidR="00A84EC5" w:rsidRPr="001B608B" w:rsidRDefault="00A84EC5" w:rsidP="00A84EC5">
      <w:pPr>
        <w:rPr>
          <w:rFonts w:ascii="Calibri" w:hAnsi="Calibri"/>
        </w:rPr>
      </w:pPr>
      <w:r w:rsidRPr="001B608B">
        <w:rPr>
          <w:rFonts w:ascii="Calibri" w:hAnsi="Calibri"/>
        </w:rPr>
        <w:t>a</w:t>
      </w:r>
    </w:p>
    <w:p w:rsidR="00A84EC5" w:rsidRPr="001B608B" w:rsidRDefault="00A84EC5" w:rsidP="00A84EC5">
      <w:pPr>
        <w:rPr>
          <w:rFonts w:ascii="Calibri" w:hAnsi="Calibri"/>
        </w:rPr>
      </w:pPr>
    </w:p>
    <w:p w:rsidR="00A84EC5" w:rsidRPr="001B608B" w:rsidRDefault="00A84EC5" w:rsidP="00A84EC5">
      <w:pPr>
        <w:rPr>
          <w:rFonts w:ascii="Calibri" w:hAnsi="Calibri"/>
        </w:rPr>
      </w:pPr>
    </w:p>
    <w:p w:rsidR="00A84EC5" w:rsidRPr="001B608B" w:rsidRDefault="00A84EC5" w:rsidP="00A84EC5">
      <w:pPr>
        <w:rPr>
          <w:rFonts w:ascii="Calibri" w:hAnsi="Calibri"/>
          <w:b/>
        </w:rPr>
      </w:pPr>
      <w:r w:rsidRPr="001B608B">
        <w:rPr>
          <w:rFonts w:ascii="Calibri" w:hAnsi="Calibri"/>
          <w:b/>
        </w:rPr>
        <w:t>Služby města Pardubic a.s.</w:t>
      </w:r>
    </w:p>
    <w:p w:rsidR="00A84EC5" w:rsidRPr="001B608B" w:rsidRDefault="00A84EC5" w:rsidP="00A84EC5">
      <w:pPr>
        <w:rPr>
          <w:rFonts w:ascii="Calibri" w:hAnsi="Calibri"/>
        </w:rPr>
      </w:pPr>
      <w:r w:rsidRPr="001B608B">
        <w:rPr>
          <w:rFonts w:ascii="Calibri" w:hAnsi="Calibri"/>
        </w:rPr>
        <w:t>Se sídlem: Hůrka 1803, Bílé Předměstí, 530 12 Pardubice</w:t>
      </w:r>
    </w:p>
    <w:p w:rsidR="00A84EC5" w:rsidRPr="001B608B" w:rsidRDefault="00A84EC5" w:rsidP="00A84EC5">
      <w:pPr>
        <w:rPr>
          <w:rFonts w:ascii="Calibri" w:hAnsi="Calibri"/>
        </w:rPr>
      </w:pPr>
      <w:r w:rsidRPr="001B608B">
        <w:rPr>
          <w:rFonts w:ascii="Calibri" w:hAnsi="Calibri"/>
        </w:rPr>
        <w:t>IČ: 252 62 572</w:t>
      </w:r>
    </w:p>
    <w:p w:rsidR="00A84EC5" w:rsidRPr="001B608B" w:rsidRDefault="00A84EC5" w:rsidP="00A84EC5">
      <w:pPr>
        <w:rPr>
          <w:rFonts w:ascii="Calibri" w:hAnsi="Calibri"/>
        </w:rPr>
      </w:pPr>
      <w:r w:rsidRPr="001B608B">
        <w:rPr>
          <w:rFonts w:ascii="Calibri" w:hAnsi="Calibri"/>
        </w:rPr>
        <w:t>DIČ: CZ25262572</w:t>
      </w:r>
    </w:p>
    <w:p w:rsidR="00A84EC5" w:rsidRPr="001B608B" w:rsidRDefault="00A84EC5" w:rsidP="00A84EC5">
      <w:pPr>
        <w:rPr>
          <w:rFonts w:ascii="Calibri" w:hAnsi="Calibri"/>
        </w:rPr>
      </w:pPr>
      <w:r w:rsidRPr="001B608B">
        <w:rPr>
          <w:rFonts w:ascii="Calibri" w:hAnsi="Calibri"/>
        </w:rPr>
        <w:t>Zapsaná v obchodním rejstříku vedeném KS Hradec Králové, odd. B, vložka 1527</w:t>
      </w:r>
    </w:p>
    <w:p w:rsidR="00A84EC5" w:rsidRPr="001B608B" w:rsidRDefault="00A84EC5" w:rsidP="00A84EC5">
      <w:pPr>
        <w:rPr>
          <w:rFonts w:ascii="Calibri" w:hAnsi="Calibri"/>
        </w:rPr>
      </w:pPr>
      <w:r w:rsidRPr="001B608B">
        <w:rPr>
          <w:rFonts w:ascii="Calibri" w:hAnsi="Calibri"/>
        </w:rPr>
        <w:t>Zastoupená: Ing. Aleš Kopecký, místopředseda představenstva</w:t>
      </w:r>
    </w:p>
    <w:p w:rsidR="00A84EC5" w:rsidRPr="001B608B" w:rsidRDefault="00A84EC5" w:rsidP="00A84EC5">
      <w:pPr>
        <w:rPr>
          <w:rFonts w:ascii="Calibri" w:hAnsi="Calibri"/>
        </w:rPr>
      </w:pPr>
      <w:r w:rsidRPr="001B608B">
        <w:rPr>
          <w:rFonts w:ascii="Calibri" w:hAnsi="Calibri"/>
        </w:rPr>
        <w:t>(dále jen objednatel)</w:t>
      </w:r>
    </w:p>
    <w:p w:rsidR="00A84EC5" w:rsidRPr="001B608B" w:rsidRDefault="00A84EC5" w:rsidP="00A84EC5"/>
    <w:p w:rsidR="00A84EC5" w:rsidRPr="001B608B" w:rsidRDefault="00A84EC5" w:rsidP="00A84EC5">
      <w:pPr>
        <w:pStyle w:val="Bezmezer"/>
        <w:jc w:val="center"/>
        <w:rPr>
          <w:b/>
          <w:sz w:val="24"/>
          <w:szCs w:val="24"/>
        </w:rPr>
      </w:pPr>
    </w:p>
    <w:p w:rsidR="00A84EC5" w:rsidRPr="001B608B" w:rsidRDefault="00A84EC5" w:rsidP="00A84EC5">
      <w:pPr>
        <w:pStyle w:val="Bezmezer"/>
        <w:jc w:val="center"/>
        <w:rPr>
          <w:b/>
          <w:sz w:val="24"/>
          <w:szCs w:val="24"/>
        </w:rPr>
      </w:pPr>
      <w:r w:rsidRPr="001B608B">
        <w:rPr>
          <w:b/>
          <w:sz w:val="24"/>
          <w:szCs w:val="24"/>
        </w:rPr>
        <w:br/>
        <w:t>dnešního dne, měsíce a roku uzavírají tuto smlouvu o poskytování služeb.</w:t>
      </w:r>
    </w:p>
    <w:p w:rsidR="00A84EC5" w:rsidRPr="001B608B" w:rsidRDefault="00A84EC5" w:rsidP="00A84EC5">
      <w:pPr>
        <w:pStyle w:val="Bezmezer"/>
        <w:jc w:val="center"/>
        <w:rPr>
          <w:b/>
          <w:sz w:val="24"/>
          <w:szCs w:val="24"/>
        </w:rPr>
      </w:pPr>
    </w:p>
    <w:p w:rsidR="00A84EC5" w:rsidRPr="001B608B" w:rsidRDefault="00A84EC5" w:rsidP="00A84EC5">
      <w:pPr>
        <w:pStyle w:val="Bezmezer"/>
        <w:jc w:val="center"/>
        <w:rPr>
          <w:b/>
          <w:sz w:val="24"/>
          <w:szCs w:val="24"/>
        </w:rPr>
      </w:pPr>
    </w:p>
    <w:p w:rsidR="00A84EC5" w:rsidRPr="001B608B" w:rsidRDefault="00A84EC5" w:rsidP="00A84EC5">
      <w:pPr>
        <w:pStyle w:val="Bezmezer"/>
        <w:jc w:val="center"/>
        <w:rPr>
          <w:b/>
          <w:sz w:val="24"/>
          <w:szCs w:val="24"/>
        </w:rPr>
      </w:pPr>
    </w:p>
    <w:p w:rsidR="00A84EC5" w:rsidRPr="001B608B" w:rsidRDefault="00A84EC5" w:rsidP="00A84EC5">
      <w:pPr>
        <w:pStyle w:val="Bezmezer"/>
        <w:jc w:val="center"/>
        <w:rPr>
          <w:b/>
          <w:sz w:val="24"/>
          <w:szCs w:val="24"/>
        </w:rPr>
      </w:pPr>
      <w:r w:rsidRPr="001B608B">
        <w:rPr>
          <w:b/>
          <w:sz w:val="24"/>
          <w:szCs w:val="24"/>
        </w:rPr>
        <w:t>I.</w:t>
      </w:r>
    </w:p>
    <w:p w:rsidR="00A84EC5" w:rsidRPr="001B608B" w:rsidRDefault="00A84EC5" w:rsidP="00A84EC5">
      <w:pPr>
        <w:pStyle w:val="Bezmezer"/>
        <w:jc w:val="center"/>
        <w:rPr>
          <w:b/>
          <w:sz w:val="24"/>
          <w:szCs w:val="24"/>
        </w:rPr>
      </w:pPr>
      <w:r w:rsidRPr="001B608B">
        <w:rPr>
          <w:b/>
          <w:sz w:val="24"/>
          <w:szCs w:val="24"/>
        </w:rPr>
        <w:t>Předmět smlouvy</w:t>
      </w:r>
    </w:p>
    <w:p w:rsidR="00A84EC5" w:rsidRPr="001B608B" w:rsidRDefault="00A84EC5" w:rsidP="00A84EC5">
      <w:pPr>
        <w:pStyle w:val="Bezmezer"/>
        <w:rPr>
          <w:sz w:val="24"/>
          <w:szCs w:val="24"/>
        </w:rPr>
      </w:pPr>
    </w:p>
    <w:p w:rsidR="00A84EC5" w:rsidRPr="001B608B" w:rsidRDefault="00A84EC5" w:rsidP="00A84EC5">
      <w:pPr>
        <w:pStyle w:val="Bezmezer"/>
        <w:rPr>
          <w:sz w:val="24"/>
          <w:szCs w:val="24"/>
        </w:rPr>
      </w:pPr>
    </w:p>
    <w:p w:rsidR="00A84EC5" w:rsidRPr="001B608B" w:rsidRDefault="00A84EC5" w:rsidP="00A84EC5">
      <w:pPr>
        <w:pStyle w:val="Bezmezer"/>
        <w:numPr>
          <w:ilvl w:val="0"/>
          <w:numId w:val="4"/>
        </w:numPr>
        <w:ind w:left="360"/>
        <w:jc w:val="both"/>
        <w:rPr>
          <w:sz w:val="24"/>
          <w:szCs w:val="24"/>
        </w:rPr>
      </w:pPr>
      <w:r w:rsidRPr="001B608B">
        <w:rPr>
          <w:sz w:val="24"/>
          <w:szCs w:val="24"/>
        </w:rPr>
        <w:t>Předmětem smlouvy je vymezení rozsahu vzájemných práv a povinností při poskytování služeb smluvních stran v rámci zajišťování jejich činností.</w:t>
      </w:r>
    </w:p>
    <w:p w:rsidR="00A84EC5" w:rsidRPr="001B608B" w:rsidRDefault="00A84EC5" w:rsidP="00A84EC5">
      <w:pPr>
        <w:pStyle w:val="Bezmezer"/>
        <w:jc w:val="both"/>
        <w:rPr>
          <w:sz w:val="24"/>
          <w:szCs w:val="24"/>
        </w:rPr>
      </w:pPr>
    </w:p>
    <w:p w:rsidR="00A84EC5" w:rsidRPr="001B608B" w:rsidRDefault="00A84EC5" w:rsidP="00A84EC5">
      <w:pPr>
        <w:pStyle w:val="Bezmezer"/>
        <w:numPr>
          <w:ilvl w:val="0"/>
          <w:numId w:val="4"/>
        </w:numPr>
        <w:ind w:left="360"/>
        <w:jc w:val="both"/>
        <w:rPr>
          <w:sz w:val="24"/>
          <w:szCs w:val="24"/>
        </w:rPr>
      </w:pPr>
      <w:r w:rsidRPr="001B608B">
        <w:rPr>
          <w:sz w:val="24"/>
          <w:szCs w:val="24"/>
        </w:rPr>
        <w:t>Poskytovatel se na základě této smlouvy zavazuje pro objednatele poskytnout služby v rozsahu uvedeném v této smlouvě.</w:t>
      </w:r>
    </w:p>
    <w:p w:rsidR="00A84EC5" w:rsidRPr="001B608B" w:rsidRDefault="00A84EC5" w:rsidP="00A84EC5">
      <w:pPr>
        <w:pStyle w:val="Bezmezer"/>
        <w:jc w:val="both"/>
        <w:rPr>
          <w:sz w:val="24"/>
          <w:szCs w:val="24"/>
        </w:rPr>
      </w:pPr>
    </w:p>
    <w:p w:rsidR="00A84EC5" w:rsidRPr="001B608B" w:rsidRDefault="00A84EC5" w:rsidP="00A84EC5">
      <w:pPr>
        <w:pStyle w:val="Bezmezer"/>
        <w:numPr>
          <w:ilvl w:val="0"/>
          <w:numId w:val="4"/>
        </w:numPr>
        <w:ind w:left="360"/>
        <w:jc w:val="both"/>
        <w:rPr>
          <w:sz w:val="24"/>
          <w:szCs w:val="24"/>
        </w:rPr>
      </w:pPr>
      <w:r w:rsidRPr="001B608B">
        <w:rPr>
          <w:sz w:val="24"/>
          <w:szCs w:val="24"/>
        </w:rPr>
        <w:t>Objednatel se zavazuje za řádně poskytnuté služby dle této smlouvy zaplatit poskytovateli dohodnutou cenu ve smyslu čl. IV. této smlouvy.</w:t>
      </w:r>
    </w:p>
    <w:p w:rsidR="00A84EC5" w:rsidRPr="001B608B" w:rsidRDefault="00A84EC5" w:rsidP="00A84EC5">
      <w:pPr>
        <w:pStyle w:val="Bezmezer"/>
        <w:rPr>
          <w:sz w:val="24"/>
          <w:szCs w:val="24"/>
        </w:rPr>
      </w:pPr>
    </w:p>
    <w:p w:rsidR="00A84EC5" w:rsidRPr="001B608B" w:rsidRDefault="00A84EC5" w:rsidP="00A84EC5">
      <w:pPr>
        <w:pStyle w:val="Bezmezer"/>
        <w:rPr>
          <w:sz w:val="24"/>
          <w:szCs w:val="24"/>
        </w:rPr>
      </w:pPr>
    </w:p>
    <w:p w:rsidR="00A84EC5" w:rsidRPr="001B608B" w:rsidRDefault="00A84EC5" w:rsidP="00A84EC5">
      <w:pPr>
        <w:pStyle w:val="Bezmezer"/>
        <w:rPr>
          <w:sz w:val="24"/>
          <w:szCs w:val="24"/>
        </w:rPr>
      </w:pPr>
    </w:p>
    <w:p w:rsidR="00A84EC5" w:rsidRPr="001B608B" w:rsidRDefault="00A84EC5" w:rsidP="00A84EC5">
      <w:pPr>
        <w:pStyle w:val="Bezmezer"/>
        <w:jc w:val="center"/>
        <w:rPr>
          <w:b/>
          <w:sz w:val="24"/>
          <w:szCs w:val="24"/>
        </w:rPr>
      </w:pPr>
      <w:r w:rsidRPr="001B608B">
        <w:rPr>
          <w:b/>
          <w:sz w:val="24"/>
          <w:szCs w:val="24"/>
        </w:rPr>
        <w:lastRenderedPageBreak/>
        <w:t>II.</w:t>
      </w:r>
    </w:p>
    <w:p w:rsidR="00A84EC5" w:rsidRPr="001B608B" w:rsidRDefault="00A84EC5" w:rsidP="00A84EC5">
      <w:pPr>
        <w:pStyle w:val="Bezmezer"/>
        <w:jc w:val="center"/>
        <w:rPr>
          <w:b/>
          <w:sz w:val="24"/>
          <w:szCs w:val="24"/>
        </w:rPr>
      </w:pPr>
      <w:r w:rsidRPr="001B608B">
        <w:rPr>
          <w:b/>
          <w:sz w:val="24"/>
          <w:szCs w:val="24"/>
        </w:rPr>
        <w:t>Závazky poskytovatele</w:t>
      </w:r>
    </w:p>
    <w:p w:rsidR="00A84EC5" w:rsidRPr="001B608B" w:rsidRDefault="00A84EC5" w:rsidP="00A84EC5">
      <w:pPr>
        <w:pStyle w:val="Normlnweb"/>
        <w:spacing w:after="120"/>
        <w:rPr>
          <w:rFonts w:ascii="Calibri" w:eastAsia="Arial Unicode MS" w:hAnsi="Calibri" w:cs="Calibri"/>
          <w:lang w:eastAsia="en-US" w:bidi="ar-SA"/>
        </w:rPr>
      </w:pPr>
    </w:p>
    <w:p w:rsidR="00A84EC5" w:rsidRPr="001B608B" w:rsidDel="006A083D" w:rsidRDefault="00A84EC5" w:rsidP="00A84EC5">
      <w:pPr>
        <w:pStyle w:val="Normlnweb"/>
        <w:numPr>
          <w:ilvl w:val="0"/>
          <w:numId w:val="5"/>
        </w:numPr>
        <w:spacing w:after="120"/>
        <w:ind w:left="360"/>
        <w:jc w:val="both"/>
        <w:rPr>
          <w:rFonts w:ascii="Calibri" w:eastAsia="Arial Unicode MS" w:hAnsi="Calibri" w:cs="Calibri"/>
          <w:lang w:eastAsia="en-US" w:bidi="ar-SA"/>
        </w:rPr>
      </w:pPr>
      <w:r w:rsidRPr="001B608B">
        <w:rPr>
          <w:rFonts w:ascii="Calibri" w:eastAsia="Arial Unicode MS" w:hAnsi="Calibri" w:cs="Calibri"/>
          <w:lang w:eastAsia="en-US" w:bidi="ar-SA"/>
        </w:rPr>
        <w:t>Poskytovatel se zavazuje poskytnout objednateli služby v následujícím rozsahu:</w:t>
      </w:r>
    </w:p>
    <w:tbl>
      <w:tblPr>
        <w:tblW w:w="8957" w:type="dxa"/>
        <w:tblCellMar>
          <w:left w:w="70" w:type="dxa"/>
          <w:right w:w="70" w:type="dxa"/>
        </w:tblCellMar>
        <w:tblLook w:val="04A0" w:firstRow="1" w:lastRow="0" w:firstColumn="1" w:lastColumn="0" w:noHBand="0" w:noVBand="1"/>
      </w:tblPr>
      <w:tblGrid>
        <w:gridCol w:w="3994"/>
        <w:gridCol w:w="1333"/>
        <w:gridCol w:w="425"/>
        <w:gridCol w:w="1512"/>
        <w:gridCol w:w="1693"/>
      </w:tblGrid>
      <w:tr w:rsidR="00A84EC5" w:rsidRPr="001B608B" w:rsidTr="00EB0FEE">
        <w:trPr>
          <w:trHeight w:val="261"/>
        </w:trPr>
        <w:tc>
          <w:tcPr>
            <w:tcW w:w="895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EC5" w:rsidRPr="001B608B" w:rsidRDefault="00A84EC5" w:rsidP="00EB0FEE">
            <w:pPr>
              <w:jc w:val="center"/>
              <w:rPr>
                <w:rFonts w:ascii="Arial Black" w:hAnsi="Arial Black"/>
                <w:b/>
                <w:bCs/>
                <w:sz w:val="20"/>
                <w:szCs w:val="20"/>
              </w:rPr>
            </w:pPr>
            <w:r w:rsidRPr="001B608B">
              <w:rPr>
                <w:rFonts w:ascii="Arial Black" w:hAnsi="Arial Black"/>
                <w:b/>
                <w:bCs/>
                <w:sz w:val="20"/>
                <w:szCs w:val="20"/>
              </w:rPr>
              <w:t>AQUACENTRUM PARDUBICE poskytne:</w:t>
            </w:r>
          </w:p>
        </w:tc>
      </w:tr>
      <w:tr w:rsidR="00A84EC5" w:rsidRPr="001B608B" w:rsidTr="00EB0FEE">
        <w:trPr>
          <w:trHeight w:val="261"/>
        </w:trPr>
        <w:tc>
          <w:tcPr>
            <w:tcW w:w="3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EC5" w:rsidRPr="001B608B" w:rsidRDefault="00A84EC5" w:rsidP="00EB0FEE">
            <w:pPr>
              <w:jc w:val="center"/>
              <w:rPr>
                <w:rFonts w:ascii="Arial Black" w:hAnsi="Arial Black"/>
                <w:b/>
                <w:bCs/>
                <w:sz w:val="20"/>
                <w:szCs w:val="20"/>
              </w:rPr>
            </w:pPr>
            <w:r w:rsidRPr="001B608B">
              <w:rPr>
                <w:rFonts w:ascii="Arial Black" w:hAnsi="Arial Black"/>
                <w:b/>
                <w:bCs/>
                <w:sz w:val="20"/>
                <w:szCs w:val="20"/>
              </w:rPr>
              <w:t>reklamní prostor</w:t>
            </w:r>
          </w:p>
        </w:tc>
        <w:tc>
          <w:tcPr>
            <w:tcW w:w="1333"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rPr>
                <w:rFonts w:ascii="Arial Black" w:hAnsi="Arial Black"/>
                <w:sz w:val="20"/>
                <w:szCs w:val="20"/>
              </w:rPr>
            </w:pPr>
            <w:r w:rsidRPr="001B608B">
              <w:rPr>
                <w:rFonts w:ascii="Arial Black" w:hAnsi="Arial Black"/>
                <w:sz w:val="20"/>
                <w:szCs w:val="20"/>
              </w:rPr>
              <w:t>cena</w:t>
            </w:r>
          </w:p>
        </w:tc>
        <w:tc>
          <w:tcPr>
            <w:tcW w:w="425"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rPr>
                <w:rFonts w:ascii="Arial Black" w:hAnsi="Arial Black"/>
                <w:sz w:val="20"/>
                <w:szCs w:val="20"/>
              </w:rPr>
            </w:pPr>
            <w:r w:rsidRPr="001B608B">
              <w:rPr>
                <w:rFonts w:ascii="Arial Black" w:hAnsi="Arial Black"/>
                <w:sz w:val="20"/>
                <w:szCs w:val="20"/>
              </w:rPr>
              <w:t>ks</w:t>
            </w:r>
          </w:p>
        </w:tc>
        <w:tc>
          <w:tcPr>
            <w:tcW w:w="1512"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rPr>
                <w:rFonts w:ascii="Arial Black" w:hAnsi="Arial Black"/>
                <w:sz w:val="20"/>
                <w:szCs w:val="20"/>
              </w:rPr>
            </w:pPr>
            <w:r w:rsidRPr="001B608B">
              <w:rPr>
                <w:rFonts w:ascii="Arial Black" w:hAnsi="Arial Black"/>
                <w:sz w:val="20"/>
                <w:szCs w:val="20"/>
              </w:rPr>
              <w:t>bez DPH</w:t>
            </w:r>
          </w:p>
        </w:tc>
        <w:tc>
          <w:tcPr>
            <w:tcW w:w="1693"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rPr>
                <w:rFonts w:ascii="Arial Black" w:hAnsi="Arial Black"/>
                <w:sz w:val="20"/>
                <w:szCs w:val="20"/>
              </w:rPr>
            </w:pPr>
            <w:r w:rsidRPr="001B608B">
              <w:rPr>
                <w:rFonts w:ascii="Arial Black" w:hAnsi="Arial Black"/>
                <w:sz w:val="20"/>
                <w:szCs w:val="20"/>
              </w:rPr>
              <w:t>s DPH</w:t>
            </w:r>
          </w:p>
        </w:tc>
      </w:tr>
      <w:tr w:rsidR="00A84EC5" w:rsidRPr="001B608B" w:rsidTr="00EB0FEE">
        <w:trPr>
          <w:trHeight w:val="261"/>
        </w:trPr>
        <w:tc>
          <w:tcPr>
            <w:tcW w:w="39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EC5" w:rsidRPr="001B608B" w:rsidRDefault="00A84EC5" w:rsidP="00EB0FEE">
            <w:pPr>
              <w:rPr>
                <w:rFonts w:ascii="Arial Black" w:hAnsi="Arial Black"/>
                <w:sz w:val="20"/>
                <w:szCs w:val="20"/>
              </w:rPr>
            </w:pPr>
            <w:r w:rsidRPr="001B608B">
              <w:rPr>
                <w:rFonts w:ascii="Arial Black" w:hAnsi="Arial Black"/>
                <w:sz w:val="20"/>
                <w:szCs w:val="20"/>
              </w:rPr>
              <w:t>banner plot, 3x 1 m</w:t>
            </w:r>
          </w:p>
        </w:tc>
        <w:tc>
          <w:tcPr>
            <w:tcW w:w="1333"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3 000 Kč</w:t>
            </w:r>
          </w:p>
        </w:tc>
        <w:tc>
          <w:tcPr>
            <w:tcW w:w="425"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12</w:t>
            </w:r>
          </w:p>
        </w:tc>
        <w:tc>
          <w:tcPr>
            <w:tcW w:w="1512"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36 000 Kč</w:t>
            </w:r>
          </w:p>
        </w:tc>
        <w:tc>
          <w:tcPr>
            <w:tcW w:w="1693"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43 560 Kč</w:t>
            </w:r>
          </w:p>
        </w:tc>
      </w:tr>
      <w:tr w:rsidR="00A84EC5" w:rsidRPr="001B608B" w:rsidTr="00EB0FEE">
        <w:trPr>
          <w:trHeight w:val="261"/>
        </w:trPr>
        <w:tc>
          <w:tcPr>
            <w:tcW w:w="39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EC5" w:rsidRPr="001B608B" w:rsidRDefault="00A84EC5" w:rsidP="00EB0FEE">
            <w:pPr>
              <w:rPr>
                <w:rFonts w:ascii="Arial Black" w:hAnsi="Arial Black"/>
                <w:sz w:val="20"/>
                <w:szCs w:val="20"/>
              </w:rPr>
            </w:pPr>
            <w:r w:rsidRPr="001B608B">
              <w:rPr>
                <w:rFonts w:ascii="Arial Black" w:hAnsi="Arial Black"/>
                <w:sz w:val="20"/>
                <w:szCs w:val="20"/>
              </w:rPr>
              <w:t>banner letní pláž, 3x 1 m</w:t>
            </w:r>
          </w:p>
        </w:tc>
        <w:tc>
          <w:tcPr>
            <w:tcW w:w="1333"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4 500 Kč</w:t>
            </w:r>
          </w:p>
        </w:tc>
        <w:tc>
          <w:tcPr>
            <w:tcW w:w="425"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1</w:t>
            </w:r>
          </w:p>
        </w:tc>
        <w:tc>
          <w:tcPr>
            <w:tcW w:w="1512"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4 500 Kč</w:t>
            </w:r>
          </w:p>
        </w:tc>
        <w:tc>
          <w:tcPr>
            <w:tcW w:w="1693"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5 445 Kč</w:t>
            </w:r>
          </w:p>
        </w:tc>
      </w:tr>
      <w:tr w:rsidR="00A84EC5" w:rsidRPr="001B608B" w:rsidTr="00EB0FEE">
        <w:trPr>
          <w:trHeight w:val="261"/>
        </w:trPr>
        <w:tc>
          <w:tcPr>
            <w:tcW w:w="39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EC5" w:rsidRPr="001B608B" w:rsidRDefault="00A84EC5" w:rsidP="00EB0FEE">
            <w:pPr>
              <w:rPr>
                <w:rFonts w:ascii="Arial Black" w:hAnsi="Arial Black"/>
                <w:sz w:val="20"/>
                <w:szCs w:val="20"/>
              </w:rPr>
            </w:pPr>
            <w:r w:rsidRPr="001B608B">
              <w:rPr>
                <w:rFonts w:ascii="Arial Black" w:hAnsi="Arial Black"/>
                <w:sz w:val="20"/>
                <w:szCs w:val="20"/>
              </w:rPr>
              <w:t>letáky ve vstupní hale</w:t>
            </w:r>
          </w:p>
        </w:tc>
        <w:tc>
          <w:tcPr>
            <w:tcW w:w="1333"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3 000 Kč</w:t>
            </w:r>
          </w:p>
        </w:tc>
        <w:tc>
          <w:tcPr>
            <w:tcW w:w="425"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3</w:t>
            </w:r>
          </w:p>
        </w:tc>
        <w:tc>
          <w:tcPr>
            <w:tcW w:w="1512"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9 000 Kč</w:t>
            </w:r>
          </w:p>
        </w:tc>
        <w:tc>
          <w:tcPr>
            <w:tcW w:w="1693"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10 890 Kč</w:t>
            </w:r>
          </w:p>
        </w:tc>
      </w:tr>
      <w:tr w:rsidR="00A84EC5" w:rsidRPr="001B608B" w:rsidTr="00EB0FEE">
        <w:trPr>
          <w:trHeight w:val="261"/>
        </w:trPr>
        <w:tc>
          <w:tcPr>
            <w:tcW w:w="39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EC5" w:rsidRPr="001B608B" w:rsidRDefault="00A84EC5" w:rsidP="00EB0FEE">
            <w:pPr>
              <w:rPr>
                <w:rFonts w:ascii="Arial Black" w:hAnsi="Arial Black"/>
                <w:sz w:val="20"/>
                <w:szCs w:val="20"/>
              </w:rPr>
            </w:pPr>
            <w:r w:rsidRPr="001B608B">
              <w:rPr>
                <w:rFonts w:ascii="Arial Black" w:hAnsi="Arial Black"/>
                <w:sz w:val="20"/>
                <w:szCs w:val="20"/>
              </w:rPr>
              <w:t>spot na obrazovkách</w:t>
            </w:r>
          </w:p>
        </w:tc>
        <w:tc>
          <w:tcPr>
            <w:tcW w:w="1333"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2 000 Kč</w:t>
            </w:r>
          </w:p>
        </w:tc>
        <w:tc>
          <w:tcPr>
            <w:tcW w:w="425"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2</w:t>
            </w:r>
          </w:p>
        </w:tc>
        <w:tc>
          <w:tcPr>
            <w:tcW w:w="1512"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4 000 Kč</w:t>
            </w:r>
          </w:p>
        </w:tc>
        <w:tc>
          <w:tcPr>
            <w:tcW w:w="1693" w:type="dxa"/>
            <w:tcBorders>
              <w:top w:val="nil"/>
              <w:left w:val="nil"/>
              <w:bottom w:val="single" w:sz="4" w:space="0" w:color="auto"/>
              <w:right w:val="single" w:sz="4" w:space="0" w:color="auto"/>
            </w:tcBorders>
            <w:shd w:val="clear" w:color="auto" w:fill="auto"/>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4 840 Kč</w:t>
            </w:r>
          </w:p>
        </w:tc>
      </w:tr>
      <w:tr w:rsidR="00A84EC5" w:rsidRPr="001B608B" w:rsidTr="00EB0FEE">
        <w:trPr>
          <w:trHeight w:val="261"/>
        </w:trPr>
        <w:tc>
          <w:tcPr>
            <w:tcW w:w="3994"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A84EC5" w:rsidRPr="001B608B" w:rsidRDefault="00A84EC5" w:rsidP="00EB0FEE">
            <w:pPr>
              <w:rPr>
                <w:rFonts w:ascii="Arial Black" w:hAnsi="Arial Black"/>
                <w:sz w:val="20"/>
                <w:szCs w:val="20"/>
              </w:rPr>
            </w:pPr>
            <w:r>
              <w:rPr>
                <w:rFonts w:ascii="Arial Black" w:hAnsi="Arial Black"/>
                <w:sz w:val="20"/>
                <w:szCs w:val="20"/>
              </w:rPr>
              <w:t>R</w:t>
            </w:r>
            <w:r w:rsidRPr="001B608B">
              <w:rPr>
                <w:rFonts w:ascii="Arial Black" w:hAnsi="Arial Black"/>
                <w:sz w:val="20"/>
                <w:szCs w:val="20"/>
              </w:rPr>
              <w:t>eklama celkem</w:t>
            </w:r>
          </w:p>
        </w:tc>
        <w:tc>
          <w:tcPr>
            <w:tcW w:w="1333" w:type="dxa"/>
            <w:tcBorders>
              <w:top w:val="nil"/>
              <w:left w:val="nil"/>
              <w:bottom w:val="single" w:sz="4" w:space="0" w:color="auto"/>
              <w:right w:val="single" w:sz="4" w:space="0" w:color="auto"/>
            </w:tcBorders>
            <w:shd w:val="clear" w:color="000000" w:fill="D6DCE4"/>
            <w:noWrap/>
            <w:vAlign w:val="bottom"/>
            <w:hideMark/>
          </w:tcPr>
          <w:p w:rsidR="00A84EC5" w:rsidRPr="001B608B" w:rsidRDefault="00A84EC5" w:rsidP="00EB0FEE">
            <w:pPr>
              <w:rPr>
                <w:rFonts w:ascii="Arial Black" w:hAnsi="Arial Black"/>
                <w:sz w:val="20"/>
                <w:szCs w:val="20"/>
              </w:rPr>
            </w:pPr>
            <w:r w:rsidRPr="001B608B">
              <w:rPr>
                <w:rFonts w:ascii="Arial Black" w:hAnsi="Arial Black"/>
                <w:sz w:val="20"/>
                <w:szCs w:val="20"/>
              </w:rPr>
              <w:t> </w:t>
            </w:r>
          </w:p>
        </w:tc>
        <w:tc>
          <w:tcPr>
            <w:tcW w:w="425" w:type="dxa"/>
            <w:tcBorders>
              <w:top w:val="nil"/>
              <w:left w:val="nil"/>
              <w:bottom w:val="single" w:sz="4" w:space="0" w:color="auto"/>
              <w:right w:val="single" w:sz="4" w:space="0" w:color="auto"/>
            </w:tcBorders>
            <w:shd w:val="clear" w:color="000000" w:fill="D6DCE4"/>
            <w:noWrap/>
            <w:vAlign w:val="bottom"/>
            <w:hideMark/>
          </w:tcPr>
          <w:p w:rsidR="00A84EC5" w:rsidRPr="001B608B" w:rsidRDefault="00A84EC5" w:rsidP="00EB0FEE">
            <w:pPr>
              <w:rPr>
                <w:rFonts w:ascii="Arial Black" w:hAnsi="Arial Black"/>
                <w:sz w:val="20"/>
                <w:szCs w:val="20"/>
              </w:rPr>
            </w:pPr>
            <w:r w:rsidRPr="001B608B">
              <w:rPr>
                <w:rFonts w:ascii="Arial Black" w:hAnsi="Arial Black"/>
                <w:sz w:val="20"/>
                <w:szCs w:val="20"/>
              </w:rPr>
              <w:t> </w:t>
            </w:r>
          </w:p>
        </w:tc>
        <w:tc>
          <w:tcPr>
            <w:tcW w:w="1512" w:type="dxa"/>
            <w:tcBorders>
              <w:top w:val="nil"/>
              <w:left w:val="nil"/>
              <w:bottom w:val="single" w:sz="4" w:space="0" w:color="auto"/>
              <w:right w:val="single" w:sz="4" w:space="0" w:color="auto"/>
            </w:tcBorders>
            <w:shd w:val="clear" w:color="000000" w:fill="D6DCE4"/>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53 500 Kč</w:t>
            </w:r>
          </w:p>
        </w:tc>
        <w:tc>
          <w:tcPr>
            <w:tcW w:w="1693" w:type="dxa"/>
            <w:tcBorders>
              <w:top w:val="nil"/>
              <w:left w:val="nil"/>
              <w:bottom w:val="single" w:sz="4" w:space="0" w:color="auto"/>
              <w:right w:val="single" w:sz="4" w:space="0" w:color="auto"/>
            </w:tcBorders>
            <w:shd w:val="clear" w:color="000000" w:fill="D6DCE4"/>
            <w:noWrap/>
            <w:vAlign w:val="bottom"/>
            <w:hideMark/>
          </w:tcPr>
          <w:p w:rsidR="00A84EC5" w:rsidRPr="001B608B" w:rsidRDefault="00A84EC5" w:rsidP="00EB0FEE">
            <w:pPr>
              <w:jc w:val="right"/>
              <w:rPr>
                <w:rFonts w:ascii="Arial Black" w:hAnsi="Arial Black"/>
                <w:sz w:val="20"/>
                <w:szCs w:val="20"/>
              </w:rPr>
            </w:pPr>
            <w:r w:rsidRPr="001B608B">
              <w:rPr>
                <w:rFonts w:ascii="Arial Black" w:hAnsi="Arial Black"/>
                <w:sz w:val="20"/>
                <w:szCs w:val="20"/>
              </w:rPr>
              <w:t>64 735 Kč</w:t>
            </w:r>
          </w:p>
        </w:tc>
      </w:tr>
    </w:tbl>
    <w:p w:rsidR="00A84EC5" w:rsidRPr="001B608B" w:rsidRDefault="00A84EC5" w:rsidP="00A84EC5">
      <w:pPr>
        <w:jc w:val="both"/>
      </w:pPr>
    </w:p>
    <w:p w:rsidR="00A84EC5" w:rsidRPr="001B608B" w:rsidRDefault="00A84EC5" w:rsidP="00A84EC5">
      <w:pPr>
        <w:numPr>
          <w:ilvl w:val="0"/>
          <w:numId w:val="5"/>
        </w:numPr>
        <w:ind w:left="360"/>
        <w:jc w:val="both"/>
        <w:rPr>
          <w:rFonts w:ascii="Calibri" w:eastAsia="Arial Unicode MS" w:hAnsi="Calibri" w:cs="Calibri"/>
          <w:kern w:val="3"/>
          <w:lang w:eastAsia="en-US"/>
        </w:rPr>
      </w:pPr>
      <w:r w:rsidRPr="001B608B">
        <w:rPr>
          <w:rFonts w:ascii="Calibri" w:eastAsia="Arial Unicode MS" w:hAnsi="Calibri" w:cs="Calibri"/>
          <w:kern w:val="3"/>
          <w:lang w:eastAsia="en-US"/>
        </w:rPr>
        <w:t xml:space="preserve">Nosiče reklamy (bannery, letáky, spoty) dodá poskytovateli objednatel. </w:t>
      </w:r>
    </w:p>
    <w:p w:rsidR="00A84EC5" w:rsidRPr="001B608B" w:rsidRDefault="00A84EC5" w:rsidP="00A84EC5">
      <w:pPr>
        <w:jc w:val="both"/>
        <w:rPr>
          <w:rFonts w:ascii="Calibri" w:eastAsia="Arial Unicode MS" w:hAnsi="Calibri" w:cs="Calibri"/>
          <w:kern w:val="3"/>
          <w:lang w:eastAsia="en-US"/>
        </w:rPr>
      </w:pPr>
    </w:p>
    <w:p w:rsidR="00A84EC5" w:rsidRPr="001B608B" w:rsidRDefault="00A84EC5" w:rsidP="00A84EC5">
      <w:pPr>
        <w:numPr>
          <w:ilvl w:val="0"/>
          <w:numId w:val="5"/>
        </w:numPr>
        <w:ind w:left="360"/>
        <w:jc w:val="both"/>
        <w:rPr>
          <w:rFonts w:ascii="Calibri" w:eastAsia="Arial Unicode MS" w:hAnsi="Calibri" w:cs="Calibri"/>
          <w:kern w:val="3"/>
          <w:lang w:eastAsia="en-US"/>
        </w:rPr>
      </w:pPr>
      <w:r w:rsidRPr="001B608B">
        <w:rPr>
          <w:rFonts w:ascii="Calibri" w:eastAsia="Arial Unicode MS" w:hAnsi="Calibri" w:cs="Calibri"/>
          <w:kern w:val="3"/>
          <w:lang w:eastAsia="en-US"/>
        </w:rPr>
        <w:t xml:space="preserve">Umístění reklamy na sjednané místo zajistí poskytovatel. </w:t>
      </w:r>
    </w:p>
    <w:p w:rsidR="00A84EC5" w:rsidRPr="001B608B" w:rsidRDefault="00A84EC5" w:rsidP="00A84EC5">
      <w:pPr>
        <w:jc w:val="both"/>
        <w:rPr>
          <w:rFonts w:ascii="Calibri" w:eastAsia="Arial Unicode MS" w:hAnsi="Calibri" w:cs="Calibri"/>
          <w:kern w:val="3"/>
          <w:lang w:eastAsia="en-US"/>
        </w:rPr>
      </w:pPr>
    </w:p>
    <w:p w:rsidR="00A84EC5" w:rsidRPr="001B608B" w:rsidRDefault="00A84EC5" w:rsidP="00A84EC5">
      <w:pPr>
        <w:numPr>
          <w:ilvl w:val="0"/>
          <w:numId w:val="5"/>
        </w:numPr>
        <w:ind w:left="360"/>
        <w:jc w:val="both"/>
        <w:rPr>
          <w:rFonts w:ascii="Calibri" w:eastAsia="Arial Unicode MS" w:hAnsi="Calibri" w:cs="Calibri"/>
          <w:kern w:val="3"/>
          <w:lang w:eastAsia="en-US"/>
        </w:rPr>
      </w:pPr>
      <w:r w:rsidRPr="001B608B">
        <w:rPr>
          <w:rFonts w:ascii="Calibri" w:eastAsia="Arial Unicode MS" w:hAnsi="Calibri" w:cs="Calibri"/>
          <w:kern w:val="3"/>
          <w:lang w:eastAsia="en-US"/>
        </w:rPr>
        <w:t xml:space="preserve">Objednatel má právo si správnost umístění své reklamy zkontrolovat. </w:t>
      </w:r>
    </w:p>
    <w:p w:rsidR="00A84EC5" w:rsidRPr="001B608B" w:rsidRDefault="00A84EC5" w:rsidP="00A84EC5">
      <w:pPr>
        <w:jc w:val="both"/>
        <w:rPr>
          <w:rFonts w:ascii="Calibri" w:eastAsia="Arial Unicode MS" w:hAnsi="Calibri" w:cs="Calibri"/>
          <w:kern w:val="3"/>
          <w:lang w:eastAsia="en-US"/>
        </w:rPr>
      </w:pPr>
    </w:p>
    <w:p w:rsidR="00A84EC5" w:rsidRPr="001B608B" w:rsidRDefault="00A84EC5" w:rsidP="00A84EC5">
      <w:pPr>
        <w:numPr>
          <w:ilvl w:val="0"/>
          <w:numId w:val="5"/>
        </w:numPr>
        <w:ind w:left="360"/>
        <w:jc w:val="both"/>
        <w:rPr>
          <w:rFonts w:ascii="Calibri" w:eastAsia="Arial Unicode MS" w:hAnsi="Calibri" w:cs="Calibri"/>
          <w:kern w:val="3"/>
          <w:lang w:eastAsia="en-US"/>
        </w:rPr>
      </w:pPr>
      <w:r w:rsidRPr="001B608B">
        <w:rPr>
          <w:rFonts w:ascii="Calibri" w:eastAsia="Arial Unicode MS" w:hAnsi="Calibri" w:cs="Calibri"/>
          <w:kern w:val="3"/>
          <w:lang w:eastAsia="en-US"/>
        </w:rPr>
        <w:t xml:space="preserve">Objednatel je povinen za řádně a včas poskytnuté služby podle této smlouvy zaplatit řádně a včas sjednanou cenu dle části IV. této smlouvy. </w:t>
      </w:r>
    </w:p>
    <w:p w:rsidR="00A84EC5" w:rsidRPr="001B608B" w:rsidRDefault="00A84EC5" w:rsidP="00A84EC5">
      <w:pPr>
        <w:jc w:val="both"/>
        <w:rPr>
          <w:rFonts w:ascii="Calibri" w:eastAsia="Arial Unicode MS" w:hAnsi="Calibri" w:cs="Calibri"/>
          <w:kern w:val="3"/>
          <w:lang w:eastAsia="en-US"/>
        </w:rPr>
      </w:pPr>
    </w:p>
    <w:p w:rsidR="00A84EC5" w:rsidRPr="001B608B" w:rsidRDefault="00A84EC5" w:rsidP="00A84EC5">
      <w:pPr>
        <w:numPr>
          <w:ilvl w:val="0"/>
          <w:numId w:val="5"/>
        </w:numPr>
        <w:ind w:left="360"/>
        <w:jc w:val="both"/>
        <w:rPr>
          <w:rFonts w:ascii="Calibri" w:eastAsia="Arial Unicode MS" w:hAnsi="Calibri" w:cs="Calibri"/>
          <w:kern w:val="3"/>
          <w:lang w:eastAsia="en-US"/>
        </w:rPr>
      </w:pPr>
      <w:r w:rsidRPr="001B608B">
        <w:rPr>
          <w:rFonts w:ascii="Calibri" w:eastAsia="Arial Unicode MS" w:hAnsi="Calibri" w:cs="Calibri"/>
          <w:kern w:val="3"/>
          <w:lang w:eastAsia="en-US"/>
        </w:rPr>
        <w:t>Smluvní strany se dohodly, že lhůta pro vytknutí vady uvedená v § 1921 odst. 1 a v § 2112 odst. 1 občanského zákoníku se prodlužuje na lhůtu šesti měsíců ode dne, kdy objednatel měl možnost vadu zjistit. Ustanovení § 1921 odst. 3 věty první a § 2112 odst. 1 věty první občanského zákoníku se nepoužije.</w:t>
      </w:r>
    </w:p>
    <w:p w:rsidR="00A84EC5" w:rsidRPr="001B608B" w:rsidRDefault="00A84EC5" w:rsidP="00A84EC5">
      <w:pPr>
        <w:jc w:val="both"/>
      </w:pPr>
    </w:p>
    <w:p w:rsidR="00A84EC5" w:rsidRDefault="00A84EC5" w:rsidP="00A84EC5">
      <w:pPr>
        <w:pStyle w:val="Bezmezer"/>
        <w:jc w:val="center"/>
        <w:rPr>
          <w:b/>
          <w:sz w:val="24"/>
          <w:szCs w:val="24"/>
        </w:rPr>
      </w:pPr>
    </w:p>
    <w:p w:rsidR="00A84EC5" w:rsidRPr="001B608B" w:rsidRDefault="00A84EC5" w:rsidP="00A84EC5">
      <w:pPr>
        <w:pStyle w:val="Bezmezer"/>
        <w:jc w:val="center"/>
        <w:rPr>
          <w:b/>
          <w:sz w:val="24"/>
          <w:szCs w:val="24"/>
        </w:rPr>
      </w:pPr>
      <w:r w:rsidRPr="001B608B">
        <w:rPr>
          <w:b/>
          <w:sz w:val="24"/>
          <w:szCs w:val="24"/>
        </w:rPr>
        <w:t>III.</w:t>
      </w:r>
    </w:p>
    <w:p w:rsidR="00A84EC5" w:rsidRPr="001B608B" w:rsidRDefault="00A84EC5" w:rsidP="00A84EC5">
      <w:pPr>
        <w:pStyle w:val="Bezmezer"/>
        <w:jc w:val="center"/>
        <w:rPr>
          <w:b/>
          <w:sz w:val="24"/>
          <w:szCs w:val="24"/>
        </w:rPr>
      </w:pPr>
      <w:r w:rsidRPr="001B608B">
        <w:rPr>
          <w:b/>
          <w:sz w:val="24"/>
          <w:szCs w:val="24"/>
        </w:rPr>
        <w:t>Práva a povinnosti poskytovatele</w:t>
      </w:r>
    </w:p>
    <w:p w:rsidR="00A84EC5" w:rsidRPr="001B608B" w:rsidRDefault="00A84EC5" w:rsidP="00A84EC5">
      <w:pPr>
        <w:pStyle w:val="Bezmezer"/>
        <w:jc w:val="center"/>
        <w:rPr>
          <w:b/>
          <w:sz w:val="24"/>
          <w:szCs w:val="24"/>
        </w:rPr>
      </w:pPr>
    </w:p>
    <w:p w:rsidR="00A84EC5" w:rsidRPr="001B608B" w:rsidRDefault="00A84EC5" w:rsidP="00A84EC5">
      <w:pPr>
        <w:jc w:val="center"/>
        <w:rPr>
          <w:sz w:val="16"/>
          <w:szCs w:val="16"/>
        </w:rPr>
      </w:pPr>
    </w:p>
    <w:p w:rsidR="00A84EC5" w:rsidRPr="001B608B" w:rsidRDefault="00A84EC5" w:rsidP="00A84EC5">
      <w:pPr>
        <w:numPr>
          <w:ilvl w:val="0"/>
          <w:numId w:val="6"/>
        </w:numPr>
        <w:ind w:left="360"/>
        <w:jc w:val="both"/>
        <w:rPr>
          <w:rFonts w:ascii="Calibri" w:eastAsia="Arial Unicode MS" w:hAnsi="Calibri" w:cs="Calibri"/>
          <w:kern w:val="3"/>
          <w:lang w:eastAsia="en-US"/>
        </w:rPr>
      </w:pPr>
      <w:r w:rsidRPr="001B608B">
        <w:rPr>
          <w:rFonts w:ascii="Calibri" w:eastAsia="Arial Unicode MS" w:hAnsi="Calibri" w:cs="Calibri"/>
          <w:kern w:val="3"/>
          <w:lang w:eastAsia="en-US"/>
        </w:rPr>
        <w:t>Poskytovatel má právo na zaplacení sjednané ceny.</w:t>
      </w:r>
    </w:p>
    <w:p w:rsidR="00A84EC5" w:rsidRPr="001B608B" w:rsidRDefault="00A84EC5" w:rsidP="00A84EC5">
      <w:pPr>
        <w:ind w:left="360"/>
        <w:jc w:val="both"/>
        <w:rPr>
          <w:rFonts w:ascii="Calibri" w:eastAsia="Arial Unicode MS" w:hAnsi="Calibri" w:cs="Calibri"/>
          <w:kern w:val="3"/>
          <w:lang w:eastAsia="en-US"/>
        </w:rPr>
      </w:pPr>
    </w:p>
    <w:p w:rsidR="00A84EC5" w:rsidRPr="001B608B" w:rsidRDefault="00A84EC5" w:rsidP="00A84EC5">
      <w:pPr>
        <w:numPr>
          <w:ilvl w:val="0"/>
          <w:numId w:val="6"/>
        </w:numPr>
        <w:ind w:left="360"/>
        <w:jc w:val="both"/>
        <w:rPr>
          <w:rFonts w:ascii="Calibri" w:eastAsia="Arial Unicode MS" w:hAnsi="Calibri" w:cs="Calibri"/>
          <w:kern w:val="3"/>
          <w:lang w:eastAsia="en-US"/>
        </w:rPr>
      </w:pPr>
      <w:r w:rsidRPr="001B608B">
        <w:rPr>
          <w:rFonts w:ascii="Calibri" w:eastAsia="Arial Unicode MS" w:hAnsi="Calibri" w:cs="Calibri"/>
          <w:kern w:val="3"/>
          <w:lang w:eastAsia="en-US"/>
        </w:rPr>
        <w:t>Poskytovatel je povinen zajistit vhodné podmínky pro umístění reklamy objednatele a provést umístění ve sjednaném  prostoru.</w:t>
      </w:r>
    </w:p>
    <w:p w:rsidR="00A84EC5" w:rsidRPr="001B608B" w:rsidRDefault="00A84EC5" w:rsidP="00A84EC5"/>
    <w:p w:rsidR="00A84EC5" w:rsidRPr="001B608B" w:rsidRDefault="00A84EC5" w:rsidP="00A84EC5">
      <w:pPr>
        <w:pStyle w:val="Bezmezer"/>
        <w:jc w:val="center"/>
        <w:rPr>
          <w:b/>
          <w:sz w:val="24"/>
          <w:szCs w:val="24"/>
        </w:rPr>
      </w:pPr>
    </w:p>
    <w:p w:rsidR="00A84EC5" w:rsidRPr="001B608B" w:rsidRDefault="00A84EC5" w:rsidP="00A84EC5">
      <w:pPr>
        <w:pStyle w:val="Bezmezer"/>
        <w:jc w:val="center"/>
        <w:rPr>
          <w:b/>
          <w:sz w:val="24"/>
          <w:szCs w:val="24"/>
        </w:rPr>
      </w:pPr>
      <w:r w:rsidRPr="001B608B">
        <w:rPr>
          <w:b/>
          <w:sz w:val="24"/>
          <w:szCs w:val="24"/>
        </w:rPr>
        <w:t>IV.</w:t>
      </w:r>
    </w:p>
    <w:p w:rsidR="00A84EC5" w:rsidRPr="001B608B" w:rsidRDefault="00A84EC5" w:rsidP="00A84EC5">
      <w:pPr>
        <w:pStyle w:val="Bezmezer"/>
        <w:jc w:val="center"/>
        <w:rPr>
          <w:b/>
          <w:sz w:val="24"/>
          <w:szCs w:val="24"/>
        </w:rPr>
      </w:pPr>
      <w:r w:rsidRPr="001B608B">
        <w:rPr>
          <w:b/>
          <w:sz w:val="24"/>
          <w:szCs w:val="24"/>
        </w:rPr>
        <w:t>Cena a platební podmínky</w:t>
      </w:r>
    </w:p>
    <w:p w:rsidR="00A84EC5" w:rsidRPr="001B608B" w:rsidRDefault="00A84EC5" w:rsidP="00A84EC5">
      <w:pPr>
        <w:ind w:left="360"/>
        <w:jc w:val="both"/>
        <w:rPr>
          <w:rFonts w:ascii="Calibri" w:eastAsia="Lucida Sans Unicode" w:hAnsi="Calibri"/>
          <w:kern w:val="3"/>
          <w:lang w:eastAsia="zh-CN" w:bidi="hi-IN"/>
        </w:rPr>
      </w:pPr>
    </w:p>
    <w:p w:rsidR="00A84EC5" w:rsidRPr="001B608B" w:rsidRDefault="00A84EC5" w:rsidP="00A84EC5">
      <w:pPr>
        <w:numPr>
          <w:ilvl w:val="0"/>
          <w:numId w:val="1"/>
        </w:numPr>
        <w:ind w:left="360"/>
        <w:jc w:val="both"/>
        <w:rPr>
          <w:rFonts w:ascii="Calibri" w:eastAsia="Lucida Sans Unicode" w:hAnsi="Calibri"/>
          <w:kern w:val="3"/>
          <w:lang w:eastAsia="zh-CN" w:bidi="hi-IN"/>
        </w:rPr>
      </w:pPr>
      <w:r w:rsidRPr="001B608B">
        <w:rPr>
          <w:rFonts w:ascii="Calibri" w:eastAsia="Lucida Sans Unicode" w:hAnsi="Calibri"/>
          <w:kern w:val="3"/>
          <w:lang w:eastAsia="zh-CN" w:bidi="hi-IN"/>
        </w:rPr>
        <w:t xml:space="preserve">Smluvní strany si sjednaly cenu za poskytnutí služeb podle této smlouvy ve výši </w:t>
      </w:r>
      <w:r>
        <w:rPr>
          <w:rFonts w:ascii="Calibri" w:eastAsia="Lucida Sans Unicode" w:hAnsi="Calibri"/>
          <w:b/>
          <w:kern w:val="3"/>
          <w:lang w:eastAsia="zh-CN" w:bidi="hi-IN"/>
        </w:rPr>
        <w:t>64.735,-</w:t>
      </w:r>
      <w:r w:rsidRPr="001B608B">
        <w:rPr>
          <w:rFonts w:ascii="Calibri" w:eastAsia="Lucida Sans Unicode" w:hAnsi="Calibri"/>
          <w:b/>
          <w:kern w:val="3"/>
          <w:lang w:eastAsia="zh-CN" w:bidi="hi-IN"/>
        </w:rPr>
        <w:t>Kč vč. DPH</w:t>
      </w:r>
      <w:r>
        <w:rPr>
          <w:rFonts w:ascii="Calibri" w:eastAsia="Lucida Sans Unicode" w:hAnsi="Calibri"/>
          <w:b/>
          <w:kern w:val="3"/>
          <w:lang w:eastAsia="zh-CN" w:bidi="hi-IN"/>
        </w:rPr>
        <w:t>, slovy: šedesát čtyři tisíc sedm set třicet pět korun českých včetně daně z přidané hodnoty</w:t>
      </w:r>
      <w:r w:rsidRPr="001B608B">
        <w:rPr>
          <w:rFonts w:ascii="Calibri" w:eastAsia="Lucida Sans Unicode" w:hAnsi="Calibri"/>
          <w:b/>
          <w:kern w:val="3"/>
          <w:lang w:eastAsia="zh-CN" w:bidi="hi-IN"/>
        </w:rPr>
        <w:t>.</w:t>
      </w:r>
      <w:r>
        <w:rPr>
          <w:rFonts w:ascii="Calibri" w:eastAsia="Lucida Sans Unicode" w:hAnsi="Calibri"/>
          <w:b/>
          <w:kern w:val="3"/>
          <w:lang w:eastAsia="zh-CN" w:bidi="hi-IN"/>
        </w:rPr>
        <w:t xml:space="preserve"> </w:t>
      </w:r>
      <w:r w:rsidRPr="001B608B">
        <w:rPr>
          <w:rFonts w:ascii="Calibri" w:eastAsia="Lucida Sans Unicode" w:hAnsi="Calibri"/>
          <w:kern w:val="3"/>
          <w:lang w:eastAsia="zh-CN" w:bidi="hi-IN"/>
        </w:rPr>
        <w:t xml:space="preserve">Den uskutečnění zdanitelného plnění bude 1. 3. </w:t>
      </w:r>
      <w:r>
        <w:rPr>
          <w:rFonts w:ascii="Calibri" w:eastAsia="Lucida Sans Unicode" w:hAnsi="Calibri"/>
          <w:kern w:val="3"/>
          <w:lang w:eastAsia="zh-CN" w:bidi="hi-IN"/>
        </w:rPr>
        <w:t>2017</w:t>
      </w:r>
      <w:r w:rsidRPr="001B608B">
        <w:rPr>
          <w:rFonts w:ascii="Calibri" w:eastAsia="Lucida Sans Unicode" w:hAnsi="Calibri"/>
          <w:kern w:val="3"/>
          <w:lang w:eastAsia="zh-CN" w:bidi="hi-IN"/>
        </w:rPr>
        <w:t xml:space="preserve"> na částku </w:t>
      </w:r>
      <w:r>
        <w:rPr>
          <w:rFonts w:ascii="Calibri" w:eastAsia="Lucida Sans Unicode" w:hAnsi="Calibri"/>
          <w:b/>
          <w:kern w:val="3"/>
          <w:lang w:eastAsia="zh-CN" w:bidi="hi-IN"/>
        </w:rPr>
        <w:t>64.735,-</w:t>
      </w:r>
      <w:r w:rsidRPr="001B608B">
        <w:rPr>
          <w:rFonts w:ascii="Calibri" w:eastAsia="Lucida Sans Unicode" w:hAnsi="Calibri"/>
          <w:kern w:val="3"/>
          <w:lang w:eastAsia="zh-CN" w:bidi="hi-IN"/>
        </w:rPr>
        <w:t xml:space="preserve">Kč vč. DPH. </w:t>
      </w:r>
    </w:p>
    <w:p w:rsidR="00A84EC5" w:rsidRPr="001B608B" w:rsidRDefault="00A84EC5" w:rsidP="00A84EC5">
      <w:pPr>
        <w:numPr>
          <w:ilvl w:val="0"/>
          <w:numId w:val="1"/>
        </w:numPr>
        <w:ind w:left="360"/>
        <w:jc w:val="both"/>
        <w:rPr>
          <w:rFonts w:ascii="Calibri" w:eastAsia="Lucida Sans Unicode" w:hAnsi="Calibri"/>
          <w:kern w:val="3"/>
          <w:lang w:eastAsia="zh-CN" w:bidi="hi-IN"/>
        </w:rPr>
      </w:pPr>
    </w:p>
    <w:p w:rsidR="00A84EC5" w:rsidRPr="001B608B" w:rsidRDefault="00A84EC5" w:rsidP="00A84EC5">
      <w:pPr>
        <w:ind w:left="360"/>
        <w:jc w:val="both"/>
        <w:rPr>
          <w:rFonts w:ascii="Calibri" w:eastAsia="Lucida Sans Unicode" w:hAnsi="Calibri"/>
          <w:kern w:val="3"/>
          <w:lang w:eastAsia="zh-CN" w:bidi="hi-IN"/>
        </w:rPr>
      </w:pPr>
    </w:p>
    <w:p w:rsidR="00A84EC5" w:rsidRPr="001B608B" w:rsidRDefault="00A84EC5" w:rsidP="00A84EC5">
      <w:pPr>
        <w:ind w:left="360"/>
        <w:jc w:val="both"/>
        <w:rPr>
          <w:rFonts w:ascii="Calibri" w:eastAsia="Lucida Sans Unicode" w:hAnsi="Calibri"/>
          <w:kern w:val="3"/>
          <w:lang w:eastAsia="zh-CN" w:bidi="hi-IN"/>
        </w:rPr>
      </w:pPr>
    </w:p>
    <w:p w:rsidR="00A84EC5" w:rsidRPr="001B608B" w:rsidRDefault="00A84EC5" w:rsidP="00A84EC5">
      <w:pPr>
        <w:numPr>
          <w:ilvl w:val="0"/>
          <w:numId w:val="1"/>
        </w:numPr>
        <w:ind w:left="360"/>
        <w:jc w:val="both"/>
        <w:rPr>
          <w:rFonts w:ascii="Calibri" w:eastAsia="Lucida Sans Unicode" w:hAnsi="Calibri"/>
          <w:kern w:val="3"/>
          <w:lang w:eastAsia="zh-CN" w:bidi="hi-IN"/>
        </w:rPr>
      </w:pPr>
      <w:r w:rsidRPr="001B608B">
        <w:rPr>
          <w:rFonts w:ascii="Calibri" w:eastAsia="Lucida Sans Unicode" w:hAnsi="Calibri"/>
          <w:kern w:val="3"/>
          <w:lang w:eastAsia="zh-CN" w:bidi="hi-IN"/>
        </w:rPr>
        <w:lastRenderedPageBreak/>
        <w:t>Smluvní strany se dohodly vzájemně započíst své splatné pohledávky vůči druhé smluvní</w:t>
      </w:r>
      <w:r w:rsidRPr="001B608B">
        <w:rPr>
          <w:rFonts w:ascii="Calibri" w:eastAsia="MS Mincho" w:hAnsi="Calibri"/>
        </w:rPr>
        <w:t xml:space="preserve"> straně za plnění vzájemně poskytnutá, a to v rozsahu, v jakém se tyto pohledávky kryjí. Takto vystavené faktury budou obsahovat veškeré náležitosti daňového dokladu dle zák. č. 235/2004 o dani z přidané hodnoty a budou zřetelně označeny poznámkou </w:t>
      </w:r>
      <w:r w:rsidRPr="001B608B">
        <w:rPr>
          <w:rFonts w:ascii="Calibri" w:eastAsia="MS Mincho" w:hAnsi="Calibri"/>
          <w:b/>
        </w:rPr>
        <w:t>”NEPROPLÁCET - VZÁJEMNÝ ZÁPOČET</w:t>
      </w:r>
      <w:r w:rsidRPr="001B608B">
        <w:rPr>
          <w:rFonts w:ascii="Calibri" w:eastAsia="MS Mincho" w:hAnsi="Calibri"/>
        </w:rPr>
        <w:t>”.</w:t>
      </w:r>
    </w:p>
    <w:p w:rsidR="00A84EC5" w:rsidRPr="001B608B" w:rsidRDefault="00A84EC5" w:rsidP="00A84EC5">
      <w:pPr>
        <w:pStyle w:val="Odstavecseseznamem"/>
        <w:rPr>
          <w:rFonts w:ascii="Calibri" w:eastAsia="Lucida Sans Unicode" w:hAnsi="Calibri"/>
          <w:kern w:val="3"/>
          <w:lang w:eastAsia="zh-CN" w:bidi="hi-IN"/>
        </w:rPr>
      </w:pPr>
    </w:p>
    <w:p w:rsidR="00A84EC5" w:rsidRPr="001B608B" w:rsidRDefault="00F856E4" w:rsidP="00A84EC5">
      <w:pPr>
        <w:numPr>
          <w:ilvl w:val="0"/>
          <w:numId w:val="1"/>
        </w:numPr>
        <w:ind w:left="360"/>
        <w:jc w:val="both"/>
        <w:rPr>
          <w:rFonts w:ascii="Calibri" w:eastAsia="Lucida Sans Unicode" w:hAnsi="Calibri"/>
          <w:kern w:val="3"/>
          <w:lang w:eastAsia="zh-CN" w:bidi="hi-IN"/>
        </w:rPr>
      </w:pPr>
      <w:r>
        <w:rPr>
          <w:rFonts w:ascii="Calibri" w:eastAsia="Lucida Sans Unicode" w:hAnsi="Calibri"/>
          <w:kern w:val="3"/>
          <w:lang w:eastAsia="zh-CN" w:bidi="hi-IN"/>
        </w:rPr>
        <w:t xml:space="preserve">V případě, že </w:t>
      </w:r>
      <w:proofErr w:type="gramStart"/>
      <w:r w:rsidR="00A84EC5" w:rsidRPr="00EB0FEE">
        <w:rPr>
          <w:rFonts w:ascii="Calibri" w:eastAsia="Lucida Sans Unicode" w:hAnsi="Calibri"/>
          <w:kern w:val="3"/>
          <w:lang w:eastAsia="zh-CN" w:bidi="hi-IN"/>
        </w:rPr>
        <w:t>nedojde</w:t>
      </w:r>
      <w:proofErr w:type="gramEnd"/>
      <w:r w:rsidR="00A84EC5" w:rsidRPr="00EB0FEE">
        <w:rPr>
          <w:rFonts w:ascii="Calibri" w:eastAsia="Lucida Sans Unicode" w:hAnsi="Calibri"/>
          <w:kern w:val="3"/>
          <w:lang w:eastAsia="zh-CN" w:bidi="hi-IN"/>
        </w:rPr>
        <w:t xml:space="preserve"> k úhradě smluvní ceny žádným ze způsobů sjednaných touto smlouvou nejpozději do 1 měsíce ode dne uskutečnění zdanitelného plnění objednatel </w:t>
      </w:r>
      <w:proofErr w:type="gramStart"/>
      <w:r w:rsidR="00A84EC5" w:rsidRPr="00EB0FEE">
        <w:rPr>
          <w:rFonts w:ascii="Calibri" w:eastAsia="Lucida Sans Unicode" w:hAnsi="Calibri"/>
          <w:kern w:val="3"/>
          <w:lang w:eastAsia="zh-CN" w:bidi="hi-IN"/>
        </w:rPr>
        <w:t>bere</w:t>
      </w:r>
      <w:proofErr w:type="gramEnd"/>
      <w:r w:rsidR="00A84EC5" w:rsidRPr="00EB0FEE">
        <w:rPr>
          <w:rFonts w:ascii="Calibri" w:eastAsia="Lucida Sans Unicode" w:hAnsi="Calibri"/>
          <w:kern w:val="3"/>
          <w:lang w:eastAsia="zh-CN" w:bidi="hi-IN"/>
        </w:rPr>
        <w:t xml:space="preserve"> na vědomí, že poskytovatel je oprávněn sejmout informační a navigační  tabule  a okamžitě odstoupit od smlouvy. Náklady spojené s demontáží uhradí objednatel na základě zaslané faktury v době splatnosti, která činí 14 dní.</w:t>
      </w:r>
    </w:p>
    <w:p w:rsidR="00A84EC5" w:rsidRPr="001B608B" w:rsidRDefault="00A84EC5" w:rsidP="00A84EC5">
      <w:pPr>
        <w:pStyle w:val="Odstavecseseznamem"/>
        <w:rPr>
          <w:rFonts w:ascii="Calibri" w:eastAsia="Lucida Sans Unicode" w:hAnsi="Calibri"/>
          <w:kern w:val="3"/>
          <w:lang w:eastAsia="zh-CN" w:bidi="hi-IN"/>
        </w:rPr>
      </w:pPr>
    </w:p>
    <w:p w:rsidR="00A84EC5" w:rsidRPr="001B608B" w:rsidRDefault="00A84EC5" w:rsidP="00A84EC5">
      <w:pPr>
        <w:jc w:val="both"/>
      </w:pPr>
    </w:p>
    <w:p w:rsidR="00A84EC5" w:rsidRPr="001B608B" w:rsidRDefault="00A84EC5" w:rsidP="00A84EC5">
      <w:pPr>
        <w:pStyle w:val="Bezmezer"/>
        <w:jc w:val="center"/>
        <w:rPr>
          <w:b/>
          <w:sz w:val="24"/>
          <w:szCs w:val="24"/>
        </w:rPr>
      </w:pPr>
      <w:r w:rsidRPr="001B608B">
        <w:rPr>
          <w:b/>
          <w:sz w:val="24"/>
          <w:szCs w:val="24"/>
        </w:rPr>
        <w:t>V.</w:t>
      </w:r>
    </w:p>
    <w:p w:rsidR="00A84EC5" w:rsidRPr="001B608B" w:rsidRDefault="00A84EC5" w:rsidP="00A84EC5">
      <w:pPr>
        <w:pStyle w:val="Bezmezer"/>
        <w:jc w:val="center"/>
        <w:rPr>
          <w:b/>
          <w:sz w:val="24"/>
          <w:szCs w:val="24"/>
        </w:rPr>
      </w:pPr>
      <w:r w:rsidRPr="001B608B">
        <w:rPr>
          <w:b/>
          <w:sz w:val="24"/>
          <w:szCs w:val="24"/>
        </w:rPr>
        <w:t>Trvání smlouvy a její ukončení</w:t>
      </w:r>
    </w:p>
    <w:p w:rsidR="00A84EC5" w:rsidRPr="001B608B" w:rsidRDefault="00A84EC5" w:rsidP="00A84EC5">
      <w:pPr>
        <w:jc w:val="center"/>
        <w:rPr>
          <w:rFonts w:ascii="Calibri" w:hAnsi="Calibri"/>
          <w:b/>
          <w:sz w:val="16"/>
          <w:szCs w:val="16"/>
        </w:rPr>
      </w:pPr>
      <w:bookmarkStart w:id="0" w:name="_GoBack"/>
      <w:bookmarkEnd w:id="0"/>
    </w:p>
    <w:p w:rsidR="00A84EC5" w:rsidRPr="001B608B" w:rsidRDefault="00A84EC5" w:rsidP="00A84EC5">
      <w:pPr>
        <w:numPr>
          <w:ilvl w:val="0"/>
          <w:numId w:val="2"/>
        </w:numPr>
        <w:ind w:left="360"/>
        <w:rPr>
          <w:rFonts w:ascii="Calibri" w:hAnsi="Calibri"/>
          <w:b/>
        </w:rPr>
      </w:pPr>
      <w:r w:rsidRPr="001B608B">
        <w:rPr>
          <w:rFonts w:ascii="Calibri" w:hAnsi="Calibri"/>
        </w:rPr>
        <w:t xml:space="preserve">Tato smlouva se uzavírá na dobu určitou, a to od </w:t>
      </w:r>
      <w:r w:rsidRPr="001B608B">
        <w:rPr>
          <w:rFonts w:ascii="Calibri" w:hAnsi="Calibri"/>
          <w:b/>
        </w:rPr>
        <w:t>1. 3. 2017 do 28. 2. 2018.</w:t>
      </w:r>
    </w:p>
    <w:p w:rsidR="00A84EC5" w:rsidRPr="001B608B" w:rsidRDefault="00A84EC5" w:rsidP="00A84EC5">
      <w:pPr>
        <w:jc w:val="both"/>
        <w:rPr>
          <w:rFonts w:ascii="Calibri" w:hAnsi="Calibri"/>
        </w:rPr>
      </w:pPr>
    </w:p>
    <w:p w:rsidR="00A84EC5" w:rsidRPr="001B608B" w:rsidRDefault="00A84EC5" w:rsidP="00A84EC5">
      <w:pPr>
        <w:numPr>
          <w:ilvl w:val="0"/>
          <w:numId w:val="2"/>
        </w:numPr>
        <w:ind w:left="360"/>
        <w:jc w:val="both"/>
        <w:rPr>
          <w:rFonts w:ascii="Calibri" w:hAnsi="Calibri"/>
        </w:rPr>
      </w:pPr>
      <w:r w:rsidRPr="001B608B">
        <w:rPr>
          <w:rFonts w:ascii="Calibri" w:hAnsi="Calibri"/>
        </w:rPr>
        <w:t xml:space="preserve">Každá ze smluvních stran je oprávněna ukončit smlouvu výpovědí s měsíční výpovědní lhůtou bez uvedení důvodu. Výpovědní lhůta počne běžet prvním dnem měsíce, následujícího po doručení výpovědi druhé smluvní straně. V případě ukončení smlouvy výpovědí ze strany objednatele, nemá objednatel nárok na vrácení poměrné části ceny dle článku IV. odst. 1 do sjednané doby trvání smlouvy. </w:t>
      </w:r>
    </w:p>
    <w:p w:rsidR="00A84EC5" w:rsidRPr="001B608B" w:rsidRDefault="00A84EC5" w:rsidP="00A84EC5">
      <w:pPr>
        <w:jc w:val="both"/>
        <w:rPr>
          <w:rFonts w:ascii="Calibri" w:hAnsi="Calibri"/>
        </w:rPr>
      </w:pPr>
    </w:p>
    <w:p w:rsidR="00A84EC5" w:rsidRPr="001B608B" w:rsidRDefault="00A84EC5" w:rsidP="00A84EC5">
      <w:pPr>
        <w:numPr>
          <w:ilvl w:val="0"/>
          <w:numId w:val="2"/>
        </w:numPr>
        <w:ind w:left="360"/>
        <w:jc w:val="both"/>
        <w:rPr>
          <w:rFonts w:ascii="Calibri" w:hAnsi="Calibri"/>
        </w:rPr>
      </w:pPr>
      <w:r w:rsidRPr="001B608B">
        <w:rPr>
          <w:rFonts w:ascii="Calibri" w:hAnsi="Calibri"/>
        </w:rPr>
        <w:t>Pokud bude objednatel v prodlení splacením ceny dle čl. IV. smlouvy déle než 14 dnů, má poskytovatel právo neprodleně od smlouvy odstoupit a zároveň poskytovateli nevzniká povinnost vrátit jakoukoliv částku dosud uhrazenou objednatelem.</w:t>
      </w:r>
    </w:p>
    <w:p w:rsidR="00A84EC5" w:rsidRPr="001B608B" w:rsidRDefault="00A84EC5" w:rsidP="00A84EC5">
      <w:pPr>
        <w:jc w:val="both"/>
      </w:pPr>
    </w:p>
    <w:p w:rsidR="00A84EC5" w:rsidRPr="001B608B" w:rsidRDefault="00A84EC5" w:rsidP="00A84EC5">
      <w:pPr>
        <w:pStyle w:val="Bezmezer"/>
        <w:jc w:val="center"/>
        <w:rPr>
          <w:b/>
          <w:sz w:val="24"/>
          <w:szCs w:val="24"/>
        </w:rPr>
      </w:pPr>
    </w:p>
    <w:p w:rsidR="00A84EC5" w:rsidRPr="001B608B" w:rsidRDefault="00A84EC5" w:rsidP="00A84EC5">
      <w:pPr>
        <w:pStyle w:val="Bezmezer"/>
        <w:jc w:val="center"/>
        <w:rPr>
          <w:b/>
          <w:sz w:val="24"/>
          <w:szCs w:val="24"/>
        </w:rPr>
      </w:pPr>
      <w:r w:rsidRPr="001B608B">
        <w:rPr>
          <w:b/>
          <w:sz w:val="24"/>
          <w:szCs w:val="24"/>
        </w:rPr>
        <w:t>VI.</w:t>
      </w:r>
    </w:p>
    <w:p w:rsidR="00A84EC5" w:rsidRPr="001B608B" w:rsidRDefault="00A84EC5" w:rsidP="00A84EC5">
      <w:pPr>
        <w:pStyle w:val="Bezmezer"/>
        <w:jc w:val="center"/>
        <w:rPr>
          <w:b/>
          <w:sz w:val="24"/>
          <w:szCs w:val="24"/>
        </w:rPr>
      </w:pPr>
      <w:r w:rsidRPr="001B608B">
        <w:rPr>
          <w:b/>
          <w:sz w:val="24"/>
          <w:szCs w:val="24"/>
        </w:rPr>
        <w:t>Závěrečná ustanovení</w:t>
      </w:r>
    </w:p>
    <w:p w:rsidR="00A84EC5" w:rsidRPr="001B608B" w:rsidRDefault="00A84EC5" w:rsidP="00A84EC5">
      <w:pPr>
        <w:rPr>
          <w:b/>
          <w:sz w:val="16"/>
          <w:szCs w:val="16"/>
        </w:rPr>
      </w:pPr>
    </w:p>
    <w:p w:rsidR="00A84EC5" w:rsidRPr="001B608B" w:rsidRDefault="00A84EC5" w:rsidP="00A84EC5">
      <w:pPr>
        <w:numPr>
          <w:ilvl w:val="0"/>
          <w:numId w:val="3"/>
        </w:numPr>
        <w:ind w:left="360"/>
        <w:jc w:val="both"/>
        <w:rPr>
          <w:rFonts w:ascii="Calibri" w:hAnsi="Calibri"/>
        </w:rPr>
      </w:pPr>
      <w:r w:rsidRPr="001B608B">
        <w:rPr>
          <w:rFonts w:ascii="Calibri" w:hAnsi="Calibri"/>
        </w:rPr>
        <w:t>Poskytovatel neodpovídá za obsahové a výtvarné řešení reklamních panelů z hlediska platných právních norem, nese pouze odpovědnost za řádné umístění, popř. za kvalitu provedení po celou dobu platnosti této smlouvy.</w:t>
      </w:r>
    </w:p>
    <w:p w:rsidR="00A84EC5" w:rsidRPr="001B608B" w:rsidRDefault="00A84EC5" w:rsidP="00A84EC5">
      <w:pPr>
        <w:jc w:val="both"/>
        <w:rPr>
          <w:rFonts w:ascii="Calibri" w:hAnsi="Calibri"/>
        </w:rPr>
      </w:pPr>
    </w:p>
    <w:p w:rsidR="00A84EC5" w:rsidRPr="001B608B" w:rsidRDefault="00A84EC5" w:rsidP="00A84EC5">
      <w:pPr>
        <w:numPr>
          <w:ilvl w:val="0"/>
          <w:numId w:val="3"/>
        </w:numPr>
        <w:ind w:left="360"/>
        <w:jc w:val="both"/>
        <w:rPr>
          <w:rFonts w:ascii="Calibri" w:hAnsi="Calibri"/>
        </w:rPr>
      </w:pPr>
      <w:r w:rsidRPr="001B608B">
        <w:rPr>
          <w:rFonts w:ascii="Calibri" w:hAnsi="Calibri"/>
        </w:rPr>
        <w:t>Smlouva je uzavírána ve dvou vyhotoveních, z nichž každá strana obdrží po jednom vyhotovení.</w:t>
      </w:r>
    </w:p>
    <w:p w:rsidR="00A84EC5" w:rsidRPr="001B608B" w:rsidRDefault="00A84EC5" w:rsidP="00A84EC5">
      <w:pPr>
        <w:ind w:left="360"/>
        <w:jc w:val="both"/>
        <w:rPr>
          <w:rFonts w:ascii="Calibri" w:hAnsi="Calibri"/>
        </w:rPr>
      </w:pPr>
    </w:p>
    <w:p w:rsidR="00A84EC5" w:rsidRPr="001B608B" w:rsidRDefault="00A84EC5" w:rsidP="00A84EC5">
      <w:pPr>
        <w:numPr>
          <w:ilvl w:val="0"/>
          <w:numId w:val="3"/>
        </w:numPr>
        <w:ind w:left="360"/>
        <w:jc w:val="both"/>
        <w:rPr>
          <w:rFonts w:ascii="Calibri" w:hAnsi="Calibri"/>
        </w:rPr>
      </w:pPr>
      <w:r w:rsidRPr="001B608B">
        <w:rPr>
          <w:rFonts w:ascii="Calibri" w:hAnsi="Calibri"/>
        </w:rPr>
        <w:t>Na právní poměry touto smlouvou založené, ale jí výslovně neupravené, vztahují se ustanovení zákona č. 89/2012 Sb., občanský zákoník, v platném znění (dále jen „občanský zákoník“).</w:t>
      </w:r>
    </w:p>
    <w:p w:rsidR="00A84EC5" w:rsidRPr="001B608B" w:rsidRDefault="00A84EC5" w:rsidP="00A84EC5">
      <w:pPr>
        <w:ind w:left="360"/>
        <w:jc w:val="both"/>
        <w:rPr>
          <w:rFonts w:ascii="Calibri" w:hAnsi="Calibri"/>
        </w:rPr>
      </w:pPr>
    </w:p>
    <w:p w:rsidR="00A84EC5" w:rsidRPr="001B608B" w:rsidRDefault="00A84EC5" w:rsidP="00A84EC5">
      <w:pPr>
        <w:numPr>
          <w:ilvl w:val="0"/>
          <w:numId w:val="3"/>
        </w:numPr>
        <w:ind w:left="360"/>
        <w:jc w:val="both"/>
        <w:rPr>
          <w:rFonts w:ascii="Calibri" w:hAnsi="Calibri"/>
        </w:rPr>
      </w:pPr>
      <w:r w:rsidRPr="001B608B">
        <w:rPr>
          <w:rFonts w:ascii="Calibri" w:hAnsi="Calibri"/>
        </w:rPr>
        <w:t xml:space="preserve">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w:t>
      </w:r>
      <w:r w:rsidRPr="001B608B">
        <w:rPr>
          <w:rFonts w:ascii="Calibri" w:hAnsi="Calibri"/>
        </w:rPr>
        <w:lastRenderedPageBreak/>
        <w:t>formu není pro tento účel považována výměna e-mailových či jiných elektronických zpráv. Neplatnost dodatků z důvodu nedodržení formy lze namítnout kdykoliv, a to i když již bylo započato s plněním.</w:t>
      </w:r>
    </w:p>
    <w:p w:rsidR="00A84EC5" w:rsidRPr="001B608B" w:rsidRDefault="00A84EC5" w:rsidP="00A84EC5">
      <w:pPr>
        <w:ind w:left="360"/>
        <w:jc w:val="both"/>
        <w:rPr>
          <w:rFonts w:ascii="Calibri" w:hAnsi="Calibri"/>
        </w:rPr>
      </w:pPr>
    </w:p>
    <w:p w:rsidR="00A84EC5" w:rsidRPr="001B608B" w:rsidRDefault="00A84EC5" w:rsidP="00A84EC5">
      <w:pPr>
        <w:numPr>
          <w:ilvl w:val="0"/>
          <w:numId w:val="3"/>
        </w:numPr>
        <w:ind w:left="360"/>
        <w:jc w:val="both"/>
        <w:rPr>
          <w:rFonts w:ascii="Calibri" w:hAnsi="Calibri"/>
        </w:rPr>
      </w:pPr>
      <w:r w:rsidRPr="001B608B">
        <w:rPr>
          <w:rFonts w:ascii="Calibri" w:hAnsi="Calibri"/>
        </w:rPr>
        <w:t>Odpověď smluvní strany podle § 1740 odst. 3 občanského zákoníku, s dodatkem nebo odchylkou, není přijetím nabídky na uzavření této smlouvy, ani když podstatně nemění podmínky nabídky.</w:t>
      </w:r>
    </w:p>
    <w:p w:rsidR="00A84EC5" w:rsidRPr="001B608B" w:rsidRDefault="00A84EC5" w:rsidP="00A84EC5">
      <w:pPr>
        <w:ind w:left="360"/>
        <w:jc w:val="both"/>
        <w:rPr>
          <w:rFonts w:ascii="Calibri" w:hAnsi="Calibri"/>
        </w:rPr>
      </w:pPr>
    </w:p>
    <w:p w:rsidR="00A84EC5" w:rsidRPr="001B608B" w:rsidRDefault="00A84EC5" w:rsidP="00A84EC5">
      <w:pPr>
        <w:numPr>
          <w:ilvl w:val="0"/>
          <w:numId w:val="3"/>
        </w:numPr>
        <w:ind w:left="360"/>
        <w:jc w:val="both"/>
        <w:rPr>
          <w:rFonts w:ascii="Calibri" w:hAnsi="Calibri"/>
        </w:rPr>
      </w:pPr>
      <w:r w:rsidRPr="001B608B">
        <w:rPr>
          <w:rFonts w:ascii="Calibri" w:hAnsi="Calibri"/>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A84EC5" w:rsidRPr="001B608B" w:rsidRDefault="00A84EC5" w:rsidP="00A84EC5">
      <w:pPr>
        <w:ind w:left="360"/>
        <w:jc w:val="both"/>
        <w:rPr>
          <w:rFonts w:ascii="Calibri" w:hAnsi="Calibri"/>
        </w:rPr>
      </w:pPr>
    </w:p>
    <w:p w:rsidR="00A84EC5" w:rsidRPr="001B608B" w:rsidRDefault="00A84EC5" w:rsidP="00A84EC5">
      <w:pPr>
        <w:numPr>
          <w:ilvl w:val="0"/>
          <w:numId w:val="3"/>
        </w:numPr>
        <w:ind w:left="360"/>
        <w:jc w:val="both"/>
        <w:rPr>
          <w:rFonts w:ascii="Calibri" w:hAnsi="Calibri"/>
        </w:rPr>
      </w:pPr>
      <w:r w:rsidRPr="001B608B">
        <w:rPr>
          <w:rFonts w:ascii="Calibri" w:hAnsi="Calibri"/>
        </w:rPr>
        <w:t>Smluvní strany prohlašují, že si tuto smlouvu před jejím podpisem přečetly, že byla uzavřena po vzájemném projednání podle jejich svobodné vůle a nikoliv v tísni za nápadně nevýhodných podmínek.</w:t>
      </w:r>
    </w:p>
    <w:p w:rsidR="00A84EC5" w:rsidRPr="001B608B" w:rsidRDefault="00A84EC5" w:rsidP="00A84EC5">
      <w:pPr>
        <w:ind w:left="360"/>
        <w:jc w:val="both"/>
        <w:rPr>
          <w:rFonts w:ascii="Calibri" w:hAnsi="Calibri"/>
        </w:rPr>
      </w:pPr>
    </w:p>
    <w:p w:rsidR="00A84EC5" w:rsidRPr="001B608B" w:rsidRDefault="00A84EC5" w:rsidP="00A84EC5">
      <w:pPr>
        <w:numPr>
          <w:ilvl w:val="0"/>
          <w:numId w:val="3"/>
        </w:numPr>
        <w:ind w:left="360"/>
        <w:jc w:val="both"/>
        <w:rPr>
          <w:rFonts w:ascii="Calibri" w:hAnsi="Calibri"/>
        </w:rPr>
      </w:pPr>
      <w:r w:rsidRPr="001B608B">
        <w:rPr>
          <w:rFonts w:ascii="Calibri" w:hAnsi="Calibri"/>
        </w:rPr>
        <w:t>Na znamení souhlasu s obsahem smluvního ujednání připojují její účastníci své podpisy.</w:t>
      </w:r>
    </w:p>
    <w:p w:rsidR="00A84EC5" w:rsidRPr="001B608B" w:rsidRDefault="00A84EC5" w:rsidP="00A84EC5"/>
    <w:p w:rsidR="00A84EC5" w:rsidRPr="001B608B" w:rsidRDefault="00A84EC5" w:rsidP="00A84EC5">
      <w:pPr>
        <w:rPr>
          <w:rFonts w:ascii="Calibri" w:hAnsi="Calibri"/>
        </w:rPr>
      </w:pPr>
    </w:p>
    <w:p w:rsidR="00A84EC5" w:rsidRPr="001B608B" w:rsidRDefault="00A84EC5" w:rsidP="00A84EC5">
      <w:pPr>
        <w:rPr>
          <w:rFonts w:ascii="Calibri" w:hAnsi="Calibri"/>
        </w:rPr>
      </w:pPr>
      <w:r w:rsidRPr="001B608B">
        <w:rPr>
          <w:rFonts w:ascii="Calibri" w:hAnsi="Calibri"/>
        </w:rPr>
        <w:t xml:space="preserve">V Pardubicích dne </w:t>
      </w:r>
      <w:r>
        <w:rPr>
          <w:rFonts w:ascii="Calibri" w:hAnsi="Calibri"/>
        </w:rPr>
        <w:t>1. 3. 2017</w:t>
      </w:r>
    </w:p>
    <w:p w:rsidR="00A84EC5" w:rsidRPr="001B608B" w:rsidRDefault="00A84EC5" w:rsidP="00A84EC5">
      <w:pPr>
        <w:rPr>
          <w:rFonts w:ascii="Calibri" w:hAnsi="Calibri"/>
        </w:rPr>
      </w:pPr>
    </w:p>
    <w:p w:rsidR="00A84EC5" w:rsidRPr="001B608B" w:rsidRDefault="00A84EC5" w:rsidP="00A84EC5">
      <w:pPr>
        <w:rPr>
          <w:rFonts w:ascii="Calibri" w:hAnsi="Calibri"/>
        </w:rPr>
      </w:pPr>
      <w:r w:rsidRPr="001B608B">
        <w:rPr>
          <w:rFonts w:ascii="Calibri" w:hAnsi="Calibri"/>
        </w:rPr>
        <w:t>Za poskytovatele</w:t>
      </w:r>
      <w:r w:rsidRPr="001B608B">
        <w:rPr>
          <w:rFonts w:ascii="Calibri" w:hAnsi="Calibri"/>
        </w:rPr>
        <w:tab/>
      </w:r>
      <w:r w:rsidRPr="001B608B">
        <w:rPr>
          <w:rFonts w:ascii="Calibri" w:hAnsi="Calibri"/>
        </w:rPr>
        <w:tab/>
      </w:r>
      <w:r w:rsidRPr="001B608B">
        <w:rPr>
          <w:rFonts w:ascii="Calibri" w:hAnsi="Calibri"/>
        </w:rPr>
        <w:tab/>
      </w:r>
      <w:r w:rsidRPr="001B608B">
        <w:rPr>
          <w:rFonts w:ascii="Calibri" w:hAnsi="Calibri"/>
        </w:rPr>
        <w:tab/>
      </w:r>
      <w:r w:rsidRPr="001B608B">
        <w:rPr>
          <w:rFonts w:ascii="Calibri" w:hAnsi="Calibri"/>
        </w:rPr>
        <w:tab/>
        <w:t>Za objednatele</w:t>
      </w:r>
    </w:p>
    <w:p w:rsidR="00A84EC5" w:rsidRPr="001B608B" w:rsidRDefault="00A84EC5" w:rsidP="00A84EC5">
      <w:pPr>
        <w:rPr>
          <w:rFonts w:ascii="Calibri" w:hAnsi="Calibri"/>
        </w:rPr>
      </w:pPr>
    </w:p>
    <w:p w:rsidR="00A84EC5" w:rsidRDefault="00A84EC5" w:rsidP="00A84EC5">
      <w:pPr>
        <w:rPr>
          <w:rFonts w:ascii="Calibri" w:hAnsi="Calibri"/>
        </w:rPr>
      </w:pPr>
    </w:p>
    <w:p w:rsidR="00A84EC5" w:rsidRDefault="00A84EC5" w:rsidP="00A84EC5">
      <w:pPr>
        <w:rPr>
          <w:rFonts w:ascii="Calibri" w:hAnsi="Calibri"/>
        </w:rPr>
      </w:pPr>
    </w:p>
    <w:p w:rsidR="00A84EC5" w:rsidRPr="001B608B" w:rsidRDefault="00A84EC5" w:rsidP="00A84EC5">
      <w:pPr>
        <w:rPr>
          <w:rFonts w:ascii="Calibri" w:hAnsi="Calibri"/>
        </w:rPr>
      </w:pPr>
    </w:p>
    <w:p w:rsidR="00A84EC5" w:rsidRPr="001B608B" w:rsidRDefault="00A84EC5" w:rsidP="00A84EC5">
      <w:pPr>
        <w:rPr>
          <w:rFonts w:ascii="Calibri" w:hAnsi="Calibri"/>
        </w:rPr>
      </w:pPr>
      <w:r w:rsidRPr="001B608B">
        <w:rPr>
          <w:rFonts w:ascii="Calibri" w:hAnsi="Calibri"/>
        </w:rPr>
        <w:t>_______________________</w:t>
      </w:r>
      <w:r w:rsidRPr="001B608B">
        <w:rPr>
          <w:rFonts w:ascii="Calibri" w:hAnsi="Calibri"/>
        </w:rPr>
        <w:tab/>
      </w:r>
      <w:r w:rsidRPr="001B608B">
        <w:rPr>
          <w:rFonts w:ascii="Calibri" w:hAnsi="Calibri"/>
        </w:rPr>
        <w:tab/>
      </w:r>
      <w:r w:rsidRPr="001B608B">
        <w:rPr>
          <w:rFonts w:ascii="Calibri" w:hAnsi="Calibri"/>
        </w:rPr>
        <w:tab/>
      </w:r>
      <w:r w:rsidRPr="001B608B">
        <w:rPr>
          <w:rFonts w:ascii="Calibri" w:hAnsi="Calibri"/>
        </w:rPr>
        <w:tab/>
        <w:t>_______________________</w:t>
      </w:r>
    </w:p>
    <w:p w:rsidR="00A84EC5" w:rsidRPr="001B608B" w:rsidRDefault="00A84EC5" w:rsidP="00A84EC5">
      <w:pPr>
        <w:rPr>
          <w:rFonts w:ascii="Calibri" w:hAnsi="Calibri"/>
        </w:rPr>
      </w:pPr>
      <w:r w:rsidRPr="001B608B">
        <w:rPr>
          <w:rFonts w:ascii="Calibri" w:hAnsi="Calibri"/>
        </w:rPr>
        <w:t>Jiří Vysoudil</w:t>
      </w:r>
      <w:r w:rsidRPr="001B608B">
        <w:rPr>
          <w:rFonts w:ascii="Calibri" w:hAnsi="Calibri"/>
        </w:rPr>
        <w:tab/>
      </w:r>
      <w:r w:rsidRPr="001B608B">
        <w:rPr>
          <w:rFonts w:ascii="Calibri" w:hAnsi="Calibri"/>
        </w:rPr>
        <w:tab/>
      </w:r>
      <w:r w:rsidRPr="001B608B">
        <w:rPr>
          <w:rFonts w:ascii="Calibri" w:hAnsi="Calibri"/>
        </w:rPr>
        <w:tab/>
      </w:r>
      <w:r w:rsidRPr="001B608B">
        <w:rPr>
          <w:rFonts w:ascii="Calibri" w:hAnsi="Calibri"/>
        </w:rPr>
        <w:tab/>
      </w:r>
      <w:r w:rsidRPr="001B608B">
        <w:rPr>
          <w:rFonts w:ascii="Calibri" w:hAnsi="Calibri"/>
        </w:rPr>
        <w:tab/>
      </w:r>
      <w:r w:rsidRPr="001B608B">
        <w:rPr>
          <w:rFonts w:ascii="Calibri" w:hAnsi="Calibri"/>
        </w:rPr>
        <w:tab/>
        <w:t xml:space="preserve">Ing. </w:t>
      </w:r>
      <w:r>
        <w:rPr>
          <w:rFonts w:ascii="Calibri" w:hAnsi="Calibri"/>
        </w:rPr>
        <w:t>Aleš Kopecký</w:t>
      </w:r>
    </w:p>
    <w:p w:rsidR="00A84EC5" w:rsidRPr="001B608B" w:rsidRDefault="00A84EC5" w:rsidP="00A84EC5">
      <w:pPr>
        <w:rPr>
          <w:rFonts w:ascii="Calibri" w:hAnsi="Calibri"/>
        </w:rPr>
      </w:pPr>
      <w:r w:rsidRPr="001B608B">
        <w:rPr>
          <w:rFonts w:ascii="Calibri" w:hAnsi="Calibri"/>
        </w:rPr>
        <w:t xml:space="preserve">ředitel </w:t>
      </w:r>
      <w:r w:rsidRPr="001B608B">
        <w:rPr>
          <w:rFonts w:ascii="Calibri" w:hAnsi="Calibri"/>
        </w:rPr>
        <w:tab/>
      </w:r>
      <w:r w:rsidRPr="001B608B">
        <w:rPr>
          <w:rFonts w:ascii="Calibri" w:hAnsi="Calibri"/>
        </w:rPr>
        <w:tab/>
      </w:r>
      <w:r w:rsidRPr="001B608B">
        <w:rPr>
          <w:rFonts w:ascii="Calibri" w:hAnsi="Calibri"/>
        </w:rPr>
        <w:tab/>
      </w:r>
      <w:r w:rsidRPr="001B608B">
        <w:rPr>
          <w:rFonts w:ascii="Calibri" w:hAnsi="Calibri"/>
        </w:rPr>
        <w:tab/>
      </w:r>
      <w:r w:rsidRPr="001B608B">
        <w:rPr>
          <w:rFonts w:ascii="Calibri" w:hAnsi="Calibri"/>
        </w:rPr>
        <w:tab/>
      </w:r>
      <w:r w:rsidRPr="001B608B">
        <w:rPr>
          <w:rFonts w:ascii="Calibri" w:hAnsi="Calibri"/>
        </w:rPr>
        <w:tab/>
      </w:r>
      <w:r w:rsidRPr="001B608B">
        <w:rPr>
          <w:rFonts w:ascii="Calibri" w:hAnsi="Calibri"/>
        </w:rPr>
        <w:tab/>
        <w:t>místopředsed</w:t>
      </w:r>
      <w:r>
        <w:rPr>
          <w:rFonts w:ascii="Calibri" w:hAnsi="Calibri"/>
        </w:rPr>
        <w:t>a</w:t>
      </w:r>
      <w:r w:rsidRPr="001B608B">
        <w:rPr>
          <w:rFonts w:ascii="Calibri" w:hAnsi="Calibri"/>
        </w:rPr>
        <w:t xml:space="preserve"> představenstva</w:t>
      </w:r>
    </w:p>
    <w:p w:rsidR="00A12C3E" w:rsidRDefault="00A12C3E"/>
    <w:sectPr w:rsidR="00A12C3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BF0" w:rsidRDefault="00501BF0">
      <w:r>
        <w:separator/>
      </w:r>
    </w:p>
  </w:endnote>
  <w:endnote w:type="continuationSeparator" w:id="0">
    <w:p w:rsidR="00501BF0" w:rsidRDefault="0050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01" w:rsidRDefault="00A84EC5">
    <w:pPr>
      <w:pStyle w:val="Zpat"/>
      <w:jc w:val="center"/>
    </w:pPr>
    <w:r>
      <w:fldChar w:fldCharType="begin"/>
    </w:r>
    <w:r>
      <w:instrText>PAGE   \* MERGEFORMAT</w:instrText>
    </w:r>
    <w:r>
      <w:fldChar w:fldCharType="separate"/>
    </w:r>
    <w:r w:rsidR="00743F30">
      <w:rPr>
        <w:noProof/>
      </w:rPr>
      <w:t>4</w:t>
    </w:r>
    <w:r>
      <w:fldChar w:fldCharType="end"/>
    </w:r>
  </w:p>
  <w:p w:rsidR="00341501" w:rsidRDefault="00501B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BF0" w:rsidRDefault="00501BF0">
      <w:r>
        <w:separator/>
      </w:r>
    </w:p>
  </w:footnote>
  <w:footnote w:type="continuationSeparator" w:id="0">
    <w:p w:rsidR="00501BF0" w:rsidRDefault="00501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E6F2F"/>
    <w:multiLevelType w:val="hybridMultilevel"/>
    <w:tmpl w:val="54443D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766AF3"/>
    <w:multiLevelType w:val="hybridMultilevel"/>
    <w:tmpl w:val="7D687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2E140D"/>
    <w:multiLevelType w:val="hybridMultilevel"/>
    <w:tmpl w:val="F05CB9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994332"/>
    <w:multiLevelType w:val="hybridMultilevel"/>
    <w:tmpl w:val="15BE90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0F06E78"/>
    <w:multiLevelType w:val="hybridMultilevel"/>
    <w:tmpl w:val="85A0C98C"/>
    <w:lvl w:ilvl="0" w:tplc="81AE991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1173CF6"/>
    <w:multiLevelType w:val="hybridMultilevel"/>
    <w:tmpl w:val="B0D8E8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44"/>
    <w:rsid w:val="00501BF0"/>
    <w:rsid w:val="00530F39"/>
    <w:rsid w:val="00623144"/>
    <w:rsid w:val="00743F30"/>
    <w:rsid w:val="00A12C3E"/>
    <w:rsid w:val="00A84EC5"/>
    <w:rsid w:val="00F85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9CC9C-68DE-48B1-BCD5-22DFDDF8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EC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84EC5"/>
    <w:pPr>
      <w:tabs>
        <w:tab w:val="center" w:pos="4536"/>
        <w:tab w:val="right" w:pos="9072"/>
      </w:tabs>
    </w:pPr>
  </w:style>
  <w:style w:type="character" w:customStyle="1" w:styleId="ZpatChar">
    <w:name w:val="Zápatí Char"/>
    <w:basedOn w:val="Standardnpsmoodstavce"/>
    <w:link w:val="Zpat"/>
    <w:uiPriority w:val="99"/>
    <w:rsid w:val="00A84EC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84EC5"/>
    <w:pPr>
      <w:ind w:left="708"/>
    </w:pPr>
  </w:style>
  <w:style w:type="paragraph" w:customStyle="1" w:styleId="Standarduser">
    <w:name w:val="Standard (user)"/>
    <w:rsid w:val="00A84EC5"/>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Bezmezer">
    <w:name w:val="No Spacing"/>
    <w:uiPriority w:val="1"/>
    <w:qFormat/>
    <w:rsid w:val="00A84EC5"/>
    <w:pPr>
      <w:suppressAutoHyphens/>
      <w:autoSpaceDN w:val="0"/>
      <w:spacing w:after="0" w:line="240" w:lineRule="auto"/>
      <w:textAlignment w:val="baseline"/>
    </w:pPr>
    <w:rPr>
      <w:rFonts w:ascii="Calibri" w:eastAsia="Arial Unicode MS" w:hAnsi="Calibri" w:cs="Calibri"/>
      <w:kern w:val="3"/>
    </w:rPr>
  </w:style>
  <w:style w:type="paragraph" w:styleId="Normlnweb">
    <w:name w:val="Normal (Web)"/>
    <w:basedOn w:val="Standarduser"/>
    <w:rsid w:val="00A84E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929</Words>
  <Characters>5487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fojtlova</dc:creator>
  <cp:keywords/>
  <dc:description/>
  <cp:lastModifiedBy>fojtlova</cp:lastModifiedBy>
  <cp:revision>5</cp:revision>
  <dcterms:created xsi:type="dcterms:W3CDTF">2017-03-28T10:54:00Z</dcterms:created>
  <dcterms:modified xsi:type="dcterms:W3CDTF">2017-03-28T11:50:00Z</dcterms:modified>
</cp:coreProperties>
</file>