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3F6C5" w14:textId="77777777" w:rsidR="008E2ACF" w:rsidRDefault="00662818">
      <w:pPr>
        <w:spacing w:after="60" w:line="240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smallCaps/>
        </w:rPr>
        <w:t>OBJEDNÁVKA O POSKYTOVÁNÍ SLUŽEB KOMUNIKAČNÍHO EKOSYSTÉMU</w:t>
      </w:r>
      <w:r>
        <w:rPr>
          <w:rFonts w:ascii="Quattrocento Sans" w:eastAsia="Quattrocento Sans" w:hAnsi="Quattrocento Sans" w:cs="Quattrocento Sans"/>
          <w:b/>
          <w:smallCaps/>
        </w:rPr>
        <w:t xml:space="preserve"> MOBILNÍ ROZHLAS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 wp14:anchorId="4B7BC089" wp14:editId="65963098">
            <wp:simplePos x="0" y="0"/>
            <wp:positionH relativeFrom="column">
              <wp:posOffset>4450715</wp:posOffset>
            </wp:positionH>
            <wp:positionV relativeFrom="paragraph">
              <wp:posOffset>227965</wp:posOffset>
            </wp:positionV>
            <wp:extent cx="1387907" cy="1449397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907" cy="1449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20"/>
      </w:tblGrid>
      <w:tr w:rsidR="008E2ACF" w14:paraId="33C63B76" w14:textId="77777777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14:paraId="093E92DA" w14:textId="77777777" w:rsidR="008E2ACF" w:rsidRDefault="008E2AC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/>
            <w:vAlign w:val="center"/>
          </w:tcPr>
          <w:p w14:paraId="409459E9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/>
            <w:vAlign w:val="center"/>
          </w:tcPr>
          <w:p w14:paraId="164A19A3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Poskytovatel</w:t>
            </w:r>
          </w:p>
        </w:tc>
      </w:tr>
      <w:tr w:rsidR="008E2ACF" w14:paraId="49C1229E" w14:textId="77777777">
        <w:trPr>
          <w:trHeight w:val="340"/>
        </w:trPr>
        <w:tc>
          <w:tcPr>
            <w:tcW w:w="2219" w:type="dxa"/>
            <w:vAlign w:val="center"/>
          </w:tcPr>
          <w:p w14:paraId="56E3EF03" w14:textId="77777777" w:rsidR="008E2ACF" w:rsidRDefault="00662818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14:paraId="01553B6F" w14:textId="7E7621B7" w:rsidR="008E2ACF" w:rsidRDefault="0074267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M</w:t>
            </w:r>
            <w:r>
              <w:rPr>
                <w:rFonts w:ascii="Calibri" w:eastAsia="Quattrocento Sans" w:hAnsi="Calibri" w:cs="Calibri"/>
                <w:b/>
                <w:sz w:val="18"/>
                <w:szCs w:val="18"/>
              </w:rPr>
              <w:t>ěsto Slavkov u Brna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3DD5AFAC" w14:textId="77777777" w:rsidR="008E2ACF" w:rsidRDefault="00662818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MUNIPOLIS s.r.o.</w:t>
            </w:r>
          </w:p>
        </w:tc>
      </w:tr>
      <w:tr w:rsidR="008E2ACF" w14:paraId="2115EE33" w14:textId="77777777">
        <w:trPr>
          <w:trHeight w:val="340"/>
        </w:trPr>
        <w:tc>
          <w:tcPr>
            <w:tcW w:w="2219" w:type="dxa"/>
            <w:vAlign w:val="center"/>
          </w:tcPr>
          <w:p w14:paraId="1159D122" w14:textId="77777777" w:rsidR="008E2ACF" w:rsidRDefault="00662818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Č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:</w:t>
            </w:r>
          </w:p>
        </w:tc>
        <w:tc>
          <w:tcPr>
            <w:tcW w:w="2219" w:type="dxa"/>
            <w:vAlign w:val="center"/>
          </w:tcPr>
          <w:p w14:paraId="3DB8AEA3" w14:textId="6CD921B1" w:rsidR="008E2ACF" w:rsidRDefault="0074267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00292311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71108046" w14:textId="77777777" w:rsidR="008E2ACF" w:rsidRDefault="00662818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29198950</w:t>
            </w:r>
          </w:p>
        </w:tc>
      </w:tr>
      <w:tr w:rsidR="008E2ACF" w14:paraId="5F739025" w14:textId="77777777">
        <w:trPr>
          <w:trHeight w:val="340"/>
        </w:trPr>
        <w:tc>
          <w:tcPr>
            <w:tcW w:w="2219" w:type="dxa"/>
            <w:vAlign w:val="center"/>
          </w:tcPr>
          <w:p w14:paraId="615FDC3D" w14:textId="77777777" w:rsidR="008E2ACF" w:rsidRDefault="00662818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Č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:</w:t>
            </w:r>
          </w:p>
        </w:tc>
        <w:tc>
          <w:tcPr>
            <w:tcW w:w="2219" w:type="dxa"/>
            <w:vAlign w:val="center"/>
          </w:tcPr>
          <w:p w14:paraId="3590F577" w14:textId="77777777" w:rsidR="008E2ACF" w:rsidRDefault="008E2AC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FFFFF"/>
            <w:vAlign w:val="center"/>
          </w:tcPr>
          <w:p w14:paraId="15259FE3" w14:textId="77777777" w:rsidR="008E2ACF" w:rsidRDefault="00662818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CZ29198950</w:t>
            </w:r>
          </w:p>
        </w:tc>
      </w:tr>
      <w:tr w:rsidR="008E2ACF" w14:paraId="4680B9E1" w14:textId="77777777">
        <w:trPr>
          <w:trHeight w:val="340"/>
        </w:trPr>
        <w:tc>
          <w:tcPr>
            <w:tcW w:w="2219" w:type="dxa"/>
            <w:vAlign w:val="center"/>
          </w:tcPr>
          <w:p w14:paraId="6F6DBC9F" w14:textId="77777777" w:rsidR="008E2ACF" w:rsidRDefault="00662818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14:paraId="3A0921B0" w14:textId="77777777" w:rsidR="0074267B" w:rsidRDefault="0074267B" w:rsidP="0074267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Palackého nám. 65,</w:t>
            </w:r>
          </w:p>
          <w:p w14:paraId="5FEA1027" w14:textId="0B5E39B4" w:rsidR="008E2ACF" w:rsidRDefault="0074267B" w:rsidP="0074267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684 01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317A93B1" w14:textId="77777777" w:rsidR="008E2ACF" w:rsidRDefault="00662818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Londýnské nám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ě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stí 886/4, 639 00 Brno</w:t>
            </w:r>
          </w:p>
        </w:tc>
      </w:tr>
      <w:tr w:rsidR="008E2ACF" w14:paraId="40E176C7" w14:textId="77777777">
        <w:trPr>
          <w:trHeight w:val="340"/>
        </w:trPr>
        <w:tc>
          <w:tcPr>
            <w:tcW w:w="2219" w:type="dxa"/>
            <w:vAlign w:val="center"/>
          </w:tcPr>
          <w:p w14:paraId="5367B8A4" w14:textId="77777777" w:rsidR="008E2ACF" w:rsidRDefault="00662818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14:paraId="4D23457E" w14:textId="77777777" w:rsidR="008E2ACF" w:rsidRDefault="00662818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5D2DCB6A" w14:textId="77777777" w:rsidR="008E2ACF" w:rsidRDefault="00662818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„poskytovatel“</w:t>
            </w:r>
          </w:p>
        </w:tc>
      </w:tr>
    </w:tbl>
    <w:p w14:paraId="24967EE5" w14:textId="77777777" w:rsidR="008E2ACF" w:rsidRDefault="008E2ACF">
      <w:pPr>
        <w:spacing w:after="0" w:line="240" w:lineRule="auto"/>
        <w:rPr>
          <w:rFonts w:ascii="Quattrocento Sans" w:eastAsia="Quattrocento Sans" w:hAnsi="Quattrocento Sans" w:cs="Quattrocento Sans"/>
          <w:b/>
          <w:sz w:val="8"/>
          <w:szCs w:val="8"/>
        </w:rPr>
      </w:pPr>
    </w:p>
    <w:p w14:paraId="3C8EDF6C" w14:textId="77777777" w:rsidR="008E2ACF" w:rsidRDefault="00662818">
      <w:pPr>
        <w:pStyle w:val="Nadpis1"/>
        <w:numPr>
          <w:ilvl w:val="0"/>
          <w:numId w:val="3"/>
        </w:numPr>
        <w:spacing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Předmět objednávky</w:t>
      </w:r>
    </w:p>
    <w:p w14:paraId="501E0FF8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Poskytovatel poskytuje uživateli nevýhradní licenci k užití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komunikačního ekosystému Mobilní Rozhlas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na dobu trvání smluvního vztahu, a to v rozsahu a způsobem potřebnými pro užívání služeb v souladu s jejich určením. Komunikační ekosystém Mobilní Rozhlas umožňuje uživateli užívat systémy:</w:t>
      </w:r>
    </w:p>
    <w:p w14:paraId="2C577FDA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Systém pro SMART komunikaci s občany </w:t>
      </w:r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(SMS až 4 800 ks/min, </w:t>
      </w:r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hlasové zprávy pro nevidomé a slabozraké</w:t>
      </w:r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, e-maily, zprávy do aplikace)</w:t>
      </w:r>
    </w:p>
    <w:p w14:paraId="33D0911B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 aplikace pro chytré telefony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Android i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iOS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s hodnocením 4+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více než 100 000 staženími)</w:t>
      </w:r>
    </w:p>
    <w:p w14:paraId="635B9A83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na správu podnětů od občanů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 dispečinkem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kontrolujícím relevantnost hlášení)</w:t>
      </w:r>
    </w:p>
    <w:p w14:paraId="4C438E66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pro tvorbu anket a participativních rozpočtů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 ověřením unikátnosti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hlasu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</w:p>
    <w:p w14:paraId="56BAADBA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Dynamický webový profil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samosprávy na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u w:val="single"/>
        </w:rPr>
        <w:t>www.mobilnirozhlas.cz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52A7AE22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automatického propojení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facebookovými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stránkami samosprávy</w:t>
      </w:r>
    </w:p>
    <w:p w14:paraId="05D027F8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Automatické propojení na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 doplňkové výstrahy občanů (</w:t>
      </w:r>
      <w:hyperlink r:id="rId10">
        <w:r>
          <w:rPr>
            <w:rFonts w:ascii="Quattrocento Sans" w:eastAsia="Quattrocento Sans" w:hAnsi="Quattrocento Sans" w:cs="Quattrocento Sans"/>
            <w:color w:val="000000"/>
            <w:sz w:val="18"/>
            <w:szCs w:val="18"/>
            <w:u w:val="single"/>
          </w:rPr>
          <w:t>www.sdvo.cz</w:t>
        </w:r>
      </w:hyperlink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)</w:t>
      </w:r>
    </w:p>
    <w:p w14:paraId="1D9A11DD" w14:textId="77777777" w:rsidR="008E2ACF" w:rsidRDefault="00662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 propojení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webovými stránkami (automatické zprávy e-mailem, do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aplikace I.2 a na</w:t>
      </w:r>
      <w:proofErr w:type="gram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webový profil I.5) </w:t>
      </w:r>
    </w:p>
    <w:p w14:paraId="3AAC0AAD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pro SMART komunikaci pro školy, školky a další instituce je možné objednat samostatně.</w:t>
      </w:r>
    </w:p>
    <w:p w14:paraId="75225BF2" w14:textId="77777777" w:rsidR="008E2ACF" w:rsidRDefault="00662818">
      <w:pPr>
        <w:pStyle w:val="Nadpis1"/>
        <w:numPr>
          <w:ilvl w:val="0"/>
          <w:numId w:val="3"/>
        </w:numPr>
        <w:spacing w:before="120"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Licence a cena</w:t>
      </w:r>
    </w:p>
    <w:tbl>
      <w:tblPr>
        <w:tblStyle w:val="a5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8E2ACF" w14:paraId="78E6A72C" w14:textId="77777777">
        <w:trPr>
          <w:trHeight w:val="1710"/>
        </w:trPr>
        <w:tc>
          <w:tcPr>
            <w:tcW w:w="9072" w:type="dxa"/>
            <w:shd w:val="clear" w:color="auto" w:fill="FFFFFF"/>
          </w:tcPr>
          <w:p w14:paraId="422E4F98" w14:textId="77777777" w:rsidR="008E2ACF" w:rsidRDefault="0066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Mobilní Rozhlas “OPTIMAL”</w:t>
            </w:r>
          </w:p>
          <w:p w14:paraId="05B05DA7" w14:textId="47014F6A" w:rsidR="008E2ACF" w:rsidRDefault="0066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B050"/>
                <w:sz w:val="24"/>
                <w:szCs w:val="24"/>
              </w:rPr>
              <w:t>Cena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</w:t>
            </w:r>
            <w:r w:rsidR="00463B22"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>5 000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Kč / měsíc</w:t>
            </w:r>
          </w:p>
          <w:p w14:paraId="5A058491" w14:textId="77777777" w:rsidR="008E2ACF" w:rsidRDefault="0066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 w:firstLine="3"/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Licence obsahuje celý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ekosystém (I.1-I.8)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pro</w:t>
            </w:r>
            <w:proofErr w:type="gram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všechny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typy komunikace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Cena licence je uvedena při roční platbě.</w:t>
            </w:r>
          </w:p>
          <w:p w14:paraId="20BB91A9" w14:textId="77777777" w:rsidR="008E2ACF" w:rsidRDefault="0066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Online / telefonické školení ZDARMA. Balíček propagačních materiálů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(aktuální FB posty, texty, manuál FB komunikace, bannery na web, články do zpravodaje) je k dispozici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  <w:p w14:paraId="56CFB1D9" w14:textId="77777777" w:rsidR="008E2ACF" w:rsidRDefault="008E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 w:hanging="357"/>
              <w:jc w:val="both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</w:tr>
    </w:tbl>
    <w:p w14:paraId="43A83EEA" w14:textId="77777777" w:rsidR="008E2ACF" w:rsidRDefault="008E2ACF">
      <w:pPr>
        <w:pStyle w:val="Nadpis1"/>
        <w:ind w:left="340" w:firstLine="360"/>
        <w:jc w:val="left"/>
        <w:rPr>
          <w:rFonts w:ascii="Quattrocento Sans" w:eastAsia="Quattrocento Sans" w:hAnsi="Quattrocento Sans" w:cs="Quattrocento Sans"/>
          <w:b w:val="0"/>
          <w:i/>
          <w:sz w:val="18"/>
          <w:szCs w:val="18"/>
        </w:rPr>
      </w:pPr>
    </w:p>
    <w:p w14:paraId="288281A2" w14:textId="77777777" w:rsidR="008E2ACF" w:rsidRDefault="00662818">
      <w:pPr>
        <w:pStyle w:val="Nadpis1"/>
        <w:numPr>
          <w:ilvl w:val="0"/>
          <w:numId w:val="3"/>
        </w:numPr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Doplňkové služby </w:t>
      </w:r>
      <w:r>
        <w:rPr>
          <w:rFonts w:ascii="Quattrocento Sans" w:eastAsia="Quattrocento Sans" w:hAnsi="Quattrocento Sans" w:cs="Quattrocento Sans"/>
          <w:b w:val="0"/>
          <w:i/>
          <w:sz w:val="18"/>
          <w:szCs w:val="18"/>
        </w:rPr>
        <w:t>(zvolte zaškrtnutím)</w:t>
      </w:r>
    </w:p>
    <w:p w14:paraId="31B3E989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Osobní školení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(max. 10 osob). Cena školení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4 900 Kč –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 ceně je dojezd a 3 hodiny práce odborného školitele.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D320F1" wp14:editId="37A3A2B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3492" cy="14390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954" y="3720747"/>
                          <a:ext cx="118092" cy="118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9220FC" w14:textId="77777777" w:rsidR="008E2ACF" w:rsidRDefault="008E2A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D320F1" id="Rectangle 18" o:spid="_x0000_s1026" style="position:absolute;left:0;text-align:left;margin-left:9pt;margin-top:0;width:11.3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1BNQIAAHMEAAAOAAAAZHJzL2Uyb0RvYy54bWysVNuOEzEMfUfiH6K807nQ66jTFdpShLRi&#10;KxY+wM1kOhG5kaSd9u9xMmXbBSQkRB9SO3GPj+3jLu9OSpIjd14YXdNilFPCNTON0Puafv2yeTOn&#10;xAfQDUijeU3P3NO71etXy95WvDSdkQ13BEG0r3pb0y4EW2WZZx1X4EfGco2PrXEKArpunzUOekRX&#10;MivzfJr1xjXWGca9x9v18EhXCb9tOQuPbet5ILKmyC2k06VzF89stYRq78B2gl1owD+wUCA0Jn2G&#10;WkMAcnDiNyglmDPetGHEjMpM2wrGUw1YTZH/Us1TB5anWrA53j63yf8/WPbpuHVENDg7nJQGhTP6&#10;jF0DvZec4B02qLe+wrgnu3UXz6MZqz21TsVvrIOcajop59PFZEzJuaZvZ2U+G8+GBvNTIAwDimKe&#10;L0pKGAagPcmn8T27AlnnwwduFIlGTR0ySW2F44MPQ+jPkJjXGymajZAyOVEz/F46cgSctgzFBfxF&#10;lNSkx+TlLEc5MEDJtRICmspiE7zep3wvfpLEeAVuvv0ROPJag++G7AlgKF6JgBKXQtV0nsfPcN1x&#10;aN7rhoSzxZ5r3A4amXlFieS4S2hgwVAFEPLvcdhDqbGVcVbDdKIVTrvTZWQ705xx0t6yjUCmD+DD&#10;FhxqvcC0qH9M+P0ADknIjxoFtijG5QQX5tZxt87u1gHNOoNrxYKjZHDuQ1qzWII27w7BtCJNMPIa&#10;yFzoorKTBi5bGFfn1k9R1/+K1Q8AAAD//wMAUEsDBBQABgAIAAAAIQDLIHJV2gAAAAUBAAAPAAAA&#10;ZHJzL2Rvd25yZXYueG1sTI9BS8NAEIXvgv9hGcGb3TTYGGI2RRTBi6C1gsdpdsxGs7Mhu23jv3c8&#10;2cuDxxve+6Zez35QB5piH9jAcpGBIm6D7bkzsH17vCpBxYRscQhMBn4owro5P6uxsuHIr3TYpE5J&#10;CccKDbiUxkrr2DryGBdhJJbsM0wek9ip03bCo5T7QedZVmiPPcuCw5HuHbXfm703kMqn4oXd6tl9&#10;ZR/bh3eHS1yhMZcX890tqERz+j+GP3xBh0aYdmHPNqpBfCmvJAOikl5nBaidgTy/Ad3U+pS++QUA&#10;AP//AwBQSwECLQAUAAYACAAAACEAtoM4kv4AAADhAQAAEwAAAAAAAAAAAAAAAAAAAAAAW0NvbnRl&#10;bnRfVHlwZXNdLnhtbFBLAQItABQABgAIAAAAIQA4/SH/1gAAAJQBAAALAAAAAAAAAAAAAAAAAC8B&#10;AABfcmVscy8ucmVsc1BLAQItABQABgAIAAAAIQDVSH1BNQIAAHMEAAAOAAAAAAAAAAAAAAAAAC4C&#10;AABkcnMvZTJvRG9jLnhtbFBLAQItABQABgAIAAAAIQDLIHJV2gAAAAUBAAAPAAAAAAAAAAAAAAAA&#10;AI8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9220FC" w14:textId="77777777" w:rsidR="008E2ACF" w:rsidRDefault="008E2A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1303C3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Chytrý zpravodaj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(digitalizace obecního zpravodaje). Měsíční cena služby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_ _ _ _ _ _ _ Kč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(při roční platbě).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A5B579" wp14:editId="3F2FB3E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3492" cy="143906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954" y="3720747"/>
                          <a:ext cx="118092" cy="118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54C995" w14:textId="77777777" w:rsidR="008E2ACF" w:rsidRDefault="008E2A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A5B579" id="Rectangle 19" o:spid="_x0000_s1027" style="position:absolute;left:0;text-align:left;margin-left:9pt;margin-top:0;width:11.3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IFNgIAAHoEAAAOAAAAZHJzL2Uyb0RvYy54bWysVNuOEzEMfUfiH6K807nQuzpdoS1FSCu2&#10;YuED3EymE5EbSdqZ/j1Opmy7gISE6ENqJ+7x8bHd1V2vJDlx54XRFS1GOSVcM1MLfajo1y/bN3NK&#10;fABdgzSaV/TMPb1bv3616uySl6Y1suaOIIj2y85WtA3BLrPMs5Yr8CNjucbHxjgFAV13yGoHHaIr&#10;mZV5Ps0642rrDOPe4+1meKTrhN80nIXHpvE8EFlR5BbS6dK5j2e2XsHy4MC2gl1owD+wUCA0Jn2G&#10;2kAAcnTiNyglmDPeNGHEjMpM0wjGUw1YTZH/Us1TC5anWlAcb59l8v8Pln067RwRNfZuQYkGhT36&#10;jKqBPkhO8A4F6qxfYtyT3bmL59GM1faNU/Eb6yB9RSflfLqYjCk5V/TtrMxn49kgMO8DYRhQFPN8&#10;UVLCMADtST6N79kVyDofPnCjSDQq6pBJkhVODz4MoT9DYl5vpKi3QsrkxJnh99KRE2C3ZSgu4C+i&#10;pCYdJi9nOY4DAxy5RkJAU1kUwetDyvfiJ2kYr8D1tz8CR14b8O2QPQEMxSsRcMSlUBWd5/EzXLcc&#10;6ve6JuFsUXON20EjM68okRx3CQ0sGJYBhPx7HGooNUoZezV0J1qh3/dDcyNWvNmb+owN95ZtBRJ+&#10;AB924HDkC8yOa4B5vx/BIRf5UeOcLYpxOcG9uXXcrbO/dUCz1uB2seAoGZz7kLYtVqLNu2MwjUiN&#10;vJK5sMYBT6NwWca4Qbd+irr+Zax/AAAA//8DAFBLAwQUAAYACAAAACEAyyByVdoAAAAFAQAADwAA&#10;AGRycy9kb3ducmV2LnhtbEyPQUvDQBCF74L/YRnBm9002BhiNkUUwYugtYLHaXbMRrOzIbtt4793&#10;PNnLg8cb3vumXs9+UAeaYh/YwHKRgSJug+25M7B9e7wqQcWEbHEITAZ+KMK6OT+rsbLhyK902KRO&#10;SQnHCg24lMZK69g68hgXYSSW7DNMHpPYqdN2wqOU+0HnWVZojz3LgsOR7h2135u9N5DKp+KF3erZ&#10;fWUf24d3h0tcoTGXF/PdLahEc/o/hj98QYdGmHZhzzaqQXwpryQDopJeZwWonYE8vwHd1PqUvvkF&#10;AAD//wMAUEsBAi0AFAAGAAgAAAAhALaDOJL+AAAA4QEAABMAAAAAAAAAAAAAAAAAAAAAAFtDb250&#10;ZW50X1R5cGVzXS54bWxQSwECLQAUAAYACAAAACEAOP0h/9YAAACUAQAACwAAAAAAAAAAAAAAAAAv&#10;AQAAX3JlbHMvLnJlbHNQSwECLQAUAAYACAAAACEADIdCBTYCAAB6BAAADgAAAAAAAAAAAAAAAAAu&#10;AgAAZHJzL2Uyb0RvYy54bWxQSwECLQAUAAYACAAAACEAyyByVdoAAAAFAQAADwAAAAAAAAAAAAAA&#10;AACQ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54C995" w14:textId="77777777" w:rsidR="008E2ACF" w:rsidRDefault="008E2A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A842543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Profesionální propagační kampaň.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Cena kampaně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_ _ _ _ _ _ _ Kč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149F2C" wp14:editId="462B2C0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3492" cy="143906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954" y="3720747"/>
                          <a:ext cx="118092" cy="118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25FD1" w14:textId="77777777" w:rsidR="008E2ACF" w:rsidRDefault="008E2A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149F2C" id="Rectangle 20" o:spid="_x0000_s1028" style="position:absolute;left:0;text-align:left;margin-left:9pt;margin-top:0;width:11.3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AdNgIAAHoEAAAOAAAAZHJzL2Uyb0RvYy54bWysVNuOEzEMfUfiH6K807nQuzpdoS1FSCu2&#10;YuED3EymE5EbSdqZ/j1Opmy7gISE6ENqJ+7x8bHd1V2vJDlx54XRFS1GOSVcM1MLfajo1y/bN3NK&#10;fABdgzSaV/TMPb1bv3616uySl6Y1suaOIIj2y85WtA3BLrPMs5Yr8CNjucbHxjgFAV13yGoHHaIr&#10;mZV5Ps0642rrDOPe4+1meKTrhN80nIXHpvE8EFlR5BbS6dK5j2e2XsHy4MC2gl1owD+wUCA0Jn2G&#10;2kAAcnTiNyglmDPeNGHEjMpM0wjGUw1YTZH/Us1TC5anWlAcb59l8v8Pln067RwRdUVLlEeDwh59&#10;RtVAHyQneIcCddYvMe7J7tzF82jGavvGqfiNdZC+opNyPl1MxpScK/p2Vuaz8WwQmPeBMAwoinm+&#10;KClhGID2JJ/G9+wKZJ0PH7hRJBoVdcgkyQqnBx+G0J8hMa83UtRbIWVy4szwe+nICbDbMhQX8BdR&#10;UpMOk5ezHOtlgCPXSAhoKosieH1I+V78JA3jFbj+9kfgyGsDvh2yJ4CheCUCjrgUqqLzPH6G65ZD&#10;/V7XJJwtaq5xO2hk5hUlkuMuoYEFwzKAkH+PQw2lRiljr4buRCv0+35obsSKN3tTn7Hh3rKtQMIP&#10;4MMOHI58gdlxDTDv9yM45CI/apyzRTEuJ7g3t467dfa3DmjWGtwuFhwlg3Mf0rbFSrR5dwymEamR&#10;VzIX1jjgaRQuyxg36NZPUde/jPUPAAAA//8DAFBLAwQUAAYACAAAACEAyyByVdoAAAAFAQAADwAA&#10;AGRycy9kb3ducmV2LnhtbEyPQUvDQBCF74L/YRnBm9002BhiNkUUwYugtYLHaXbMRrOzIbtt4793&#10;PNnLg8cb3vumXs9+UAeaYh/YwHKRgSJug+25M7B9e7wqQcWEbHEITAZ+KMK6OT+rsbLhyK902KRO&#10;SQnHCg24lMZK69g68hgXYSSW7DNMHpPYqdN2wqOU+0HnWVZojz3LgsOR7h2135u9N5DKp+KF3erZ&#10;fWUf24d3h0tcoTGXF/PdLahEc/o/hj98QYdGmHZhzzaqQXwpryQDopJeZwWonYE8vwHd1PqUvvkF&#10;AAD//wMAUEsBAi0AFAAGAAgAAAAhALaDOJL+AAAA4QEAABMAAAAAAAAAAAAAAAAAAAAAAFtDb250&#10;ZW50X1R5cGVzXS54bWxQSwECLQAUAAYACAAAACEAOP0h/9YAAACUAQAACwAAAAAAAAAAAAAAAAAv&#10;AQAAX3JlbHMvLnJlbHNQSwECLQAUAAYACAAAACEAbkLAHTYCAAB6BAAADgAAAAAAAAAAAAAAAAAu&#10;AgAAZHJzL2Uyb0RvYy54bWxQSwECLQAUAAYACAAAACEAyyByVdoAAAAFAQAADwAAAAAAAAAAAAAA&#10;AACQ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5225FD1" w14:textId="77777777" w:rsidR="008E2ACF" w:rsidRDefault="008E2A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963183" w14:textId="77777777" w:rsidR="008E2ACF" w:rsidRDefault="00662818">
      <w:pPr>
        <w:pStyle w:val="Nadpis1"/>
        <w:numPr>
          <w:ilvl w:val="0"/>
          <w:numId w:val="3"/>
        </w:numPr>
        <w:spacing w:before="360"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Platby, trvání smluvního vztahu, </w:t>
      </w:r>
      <w:r>
        <w:rPr>
          <w:rFonts w:ascii="Quattrocento Sans" w:eastAsia="Quattrocento Sans" w:hAnsi="Quattrocento Sans" w:cs="Quattrocento Sans"/>
          <w:color w:val="00B050"/>
          <w:sz w:val="18"/>
          <w:szCs w:val="18"/>
        </w:rPr>
        <w:t>jednoduché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B050"/>
          <w:sz w:val="18"/>
          <w:szCs w:val="18"/>
        </w:rPr>
        <w:t>ukončení</w:t>
      </w:r>
    </w:p>
    <w:tbl>
      <w:tblPr>
        <w:tblStyle w:val="a6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15"/>
        <w:gridCol w:w="1715"/>
        <w:gridCol w:w="1716"/>
        <w:gridCol w:w="2211"/>
      </w:tblGrid>
      <w:tr w:rsidR="008E2ACF" w14:paraId="38077038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654F1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Začátek doby plnění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258009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Trvání plnění </w:t>
            </w:r>
            <w:proofErr w:type="gramStart"/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do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ADB4FB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Počet obyv. uživatele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04E79C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Interval platby </w:t>
            </w:r>
            <w: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  <w:t xml:space="preserve">(počet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vAlign w:val="center"/>
          </w:tcPr>
          <w:p w14:paraId="16363121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Cena služeb celkem</w:t>
            </w:r>
          </w:p>
        </w:tc>
      </w:tr>
      <w:tr w:rsidR="008E2ACF" w14:paraId="10F2613C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D4C9" w14:textId="0F0293BE" w:rsidR="008E2ACF" w:rsidRDefault="00DE0093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01.01.2022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DE97" w14:textId="5B308DC2" w:rsidR="008E2ACF" w:rsidRDefault="00DE0093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31.12.2022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09D7" w14:textId="5C4F0147" w:rsidR="008E2ACF" w:rsidRDefault="00DE0093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7 045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65C8" w14:textId="5DF0E63F" w:rsidR="008E2ACF" w:rsidRDefault="00DE0093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79FB" w14:textId="6FEA2770" w:rsidR="008E2ACF" w:rsidRDefault="00DE0093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60 000 K</w:t>
            </w:r>
            <w:r>
              <w:rPr>
                <w:rFonts w:ascii="Calibri" w:eastAsia="Quattrocento Sans" w:hAnsi="Calibri" w:cs="Calibri"/>
                <w:sz w:val="18"/>
                <w:szCs w:val="18"/>
              </w:rPr>
              <w:t>č</w:t>
            </w:r>
          </w:p>
        </w:tc>
      </w:tr>
    </w:tbl>
    <w:p w14:paraId="3D89067A" w14:textId="1A8EF6F5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Uživatel se zavazuje poskytovateli řádně a včas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hradit cenu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stanovenou v této objednávce. Objednávka se uzavírá na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dobu určitou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Pokud kterákoliv smluvní strana písemně formou dopisu neoznámí druhé smluvní straně, že trvá na ukončení smluvního vztahu, a to nejpozději 2 měsíce před sjednaným datem ukončení poskytování služeb dle objednávky, tak po uplynutí doby trvání smluvního vztahu se objednávka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automaticky prodlužuje o jeden rok, a to opakovaně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Ceny SMS a hlasových zpráv se při automatickém prodloužení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řídí ceníkem poskytovatele platným ke dni prodloužení smluvního vztahu, není-li uvedeno jinak. </w:t>
      </w:r>
      <w:r w:rsidR="00BE6E70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 případných změnách ceníku bude uživatel informovaný</w:t>
      </w:r>
      <w:r w:rsidR="00F648E6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="00F648E6" w:rsidRPr="00F648E6">
        <w:rPr>
          <w:sz w:val="18"/>
          <w:szCs w:val="18"/>
        </w:rPr>
        <w:t>písemně nebo elektronickými prostředky s využitím údajů poskytnutých Uživatelem, a to nejméně</w:t>
      </w:r>
      <w:r w:rsidR="006C5578">
        <w:rPr>
          <w:sz w:val="18"/>
          <w:szCs w:val="18"/>
        </w:rPr>
        <w:t xml:space="preserve"> </w:t>
      </w:r>
      <w:r w:rsidR="00F648E6" w:rsidRPr="00F648E6">
        <w:rPr>
          <w:sz w:val="18"/>
          <w:szCs w:val="18"/>
        </w:rPr>
        <w:t>měsíc před nabytím účinnosti těchto změn. V případě, že Uživatel s novým ceníkem nebude souhlasit, je oprávněn tuto smlouvu vypovědět s měsíční výpovědní dobou. V případě, že uživatel smlouvu nevypoví, má se za to, že se změnou souhlasí. Pokud Uživatel s novými Podmínkami nebude souhlasit a ani smlouvu nevypoví, je oprávněn od smlouvy odstoupit poskytovatel s dvouměsíční výpovědní dobou.</w:t>
      </w:r>
    </w:p>
    <w:p w14:paraId="723D9F40" w14:textId="411343D3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B1DCCF2" w14:textId="77777777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CCA3B54" w14:textId="77777777" w:rsidR="008E2ACF" w:rsidRDefault="008E2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0552EA86" w14:textId="77777777" w:rsidR="008E2ACF" w:rsidRDefault="00662818">
      <w:pPr>
        <w:pStyle w:val="Nadpis1"/>
        <w:numPr>
          <w:ilvl w:val="0"/>
          <w:numId w:val="3"/>
        </w:numPr>
        <w:spacing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Ceny komunikačních kanálů</w:t>
      </w:r>
    </w:p>
    <w:tbl>
      <w:tblPr>
        <w:tblStyle w:val="a7"/>
        <w:tblW w:w="9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813"/>
        <w:gridCol w:w="1814"/>
        <w:gridCol w:w="1813"/>
        <w:gridCol w:w="1814"/>
      </w:tblGrid>
      <w:tr w:rsidR="008E2ACF" w14:paraId="4D493A6A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FBC476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SMS zpráva 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ACBC08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Hlasová zpráva </w:t>
            </w:r>
          </w:p>
          <w:p w14:paraId="76B65E96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579EF8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A8150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F9F26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Podnět od občana</w:t>
            </w:r>
          </w:p>
        </w:tc>
      </w:tr>
      <w:tr w:rsidR="008E2ACF" w14:paraId="4FB81CA8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C489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0,89 Kč / ks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6EF2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0,99 Kč / 30 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1614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C0C6" w14:textId="77777777" w:rsidR="008E2ACF" w:rsidRDefault="00662818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5F05" w14:textId="77777777" w:rsidR="008E2ACF" w:rsidRDefault="00662818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14:paraId="65302AB3" w14:textId="77777777" w:rsidR="008E2ACF" w:rsidRDefault="00662818">
      <w:pPr>
        <w:spacing w:after="0"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4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Cena za SMS je účtována při registraci a změně údajů občana, při přihlášení uživatele do systému a při rozesílce zpráv</w:t>
      </w:r>
    </w:p>
    <w:p w14:paraId="36D454F2" w14:textId="46231FC0" w:rsidR="00A50905" w:rsidRDefault="00662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5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Přenos telefonního čísla 500 Kč – každému uživateli je přiřazeno tel. číslo k hlasovým zprávám, které má právo si přenést.</w:t>
      </w:r>
      <w:bookmarkStart w:id="1" w:name="_heading=h.30j0zll" w:colFirst="0" w:colLast="0"/>
      <w:bookmarkEnd w:id="1"/>
    </w:p>
    <w:p w14:paraId="41E0D116" w14:textId="68C21035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6597B08F" w14:textId="51F453FE" w:rsidR="00A50905" w:rsidRPr="00A50905" w:rsidRDefault="00A50905" w:rsidP="003D7EE6">
      <w:pPr>
        <w:pStyle w:val="Seznamsodrkami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rFonts w:ascii="Quattrocento Sans" w:eastAsia="Quattrocento Sans" w:hAnsi="Quattrocento Sans" w:cs="Quattrocento Sans"/>
          <w:b/>
          <w:bCs/>
          <w:color w:val="000000"/>
          <w:szCs w:val="18"/>
        </w:rPr>
      </w:pPr>
      <w:r w:rsidRPr="00A50905">
        <w:rPr>
          <w:rFonts w:ascii="Quattrocento Sans" w:eastAsia="Quattrocento Sans" w:hAnsi="Quattrocento Sans" w:cs="Quattrocento Sans"/>
          <w:b/>
          <w:bCs/>
          <w:color w:val="000000"/>
          <w:szCs w:val="18"/>
        </w:rPr>
        <w:t>Ochrana osobních údajů a obsluha</w:t>
      </w:r>
    </w:p>
    <w:p w14:paraId="23AFB2D1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Smluvní strany prohlašují, že jsou si vědomy nezbytnosti správy a zpracování osobních údajů adresátů sdělení pro fungování platformy Mobilní rozhlas. Zavazují se dodržovat platné právní předpisy, zejména </w:t>
      </w:r>
      <w:bookmarkStart w:id="2" w:name="_Hlk71179820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nařízení Evropského Parlamentu a Rady (EU) 2016/679, obecné nařízení o ochraně osobních údajů (dále GDPR), a zákon č. 110/2019 Sb. o zpracování osobních údajů, ve znění pozdějších předpisů</w:t>
      </w:r>
      <w:bookmarkEnd w:id="2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Uživatel se zavazuje poskytnout přístupy do platformy jen oprávněným osobám. Uživatel je plně odpovědný za obsah a formu jím komunikovaných sdělení, včetně odpovědnosti autorskoprávní. </w:t>
      </w:r>
      <w:bookmarkStart w:id="3" w:name="_Hlk71182878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 bere na vědomí, že telefonní čísla mohou měnit svého majitele a zavazuje se přijmout vhodná opatření, která na něm lze požadovat, aby se všechna sdělení dostala výhradně k osobě, která má být jejich adresátem. V případě marketingových sdělení se uživatel zavazuje zajistit dodržování všech norem o regulaci reklamy a o zasílání obchodních sdělení podle platného zákona. Má-li být podle všech okolností příjemcem informace (adresátem notifikačního sdělení) nezletilá osoba, zejména pak osoba mladší 15 let (např. v rámci školních kroužků apod.), uživatel se výslovně zavazuje zajistit souhlas jeho zákonného zástupce se zasíláním takových sdělení. Tato povinnost se vztahuje pouze u neelektronické registrace nezletilé osoby, u které je uživateli známa jednoznačná identifikace zákonného zástupce nezletilé osoby. V rámci funkcí aplikace sloužící k elektronické registraci občana dodávané Poskytovatelem Uživatel není schopen jednoznačně zjistit věk registrované osoby ani zajistit souhlas zákonného zástupce.</w:t>
      </w:r>
      <w:bookmarkEnd w:id="3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Uživatel bere na vědomí, že jeho odpovědnost dle tohoto článku smlouvy nezaniká žádnou činností poskytovatele, jelikož stále zůstává odesílatelem sdělení.</w:t>
      </w:r>
    </w:p>
    <w:p w14:paraId="266BC103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0ED855B4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 strany tímto uzavírají smlouvu o zpracování osobních údajů, kdy uživatel je správcem (dále „správce“) a poskytovatel je zpracovatelem (dále „zpracovatel“) osobních údajů.</w:t>
      </w:r>
    </w:p>
    <w:p w14:paraId="1C5C840E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2442C044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2FD6A681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Zpracovatel prohlašuje, že:</w:t>
      </w:r>
    </w:p>
    <w:p w14:paraId="58BE665F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bude zpracovávat osobní údaje pouze na základě doložených pokynů správce. </w:t>
      </w:r>
      <w:bookmarkStart w:id="4" w:name="_Hlk71180248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Správce pověřuje Poskytovatele zpracováním osobních údajů spočívajícím v jejich ukládání a zajištění jejich dostupnosti pro provoz aplikace uvedené v předmětu smlouvy. Doba zpracovávání osobních údajů je po dobu platnosti této smlouvy. Zpracovávané osobní údaje registrovaných občanů zahrnují:</w:t>
      </w:r>
    </w:p>
    <w:p w14:paraId="1B6A3D9B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jméno a příjmení (nepovinná položka) - za účelem identifikace občana,</w:t>
      </w:r>
    </w:p>
    <w:p w14:paraId="55CA16C9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rok narození</w:t>
      </w:r>
      <w:r w:rsidRPr="00A50905" w:rsidDel="00423BD0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(nepovinná položka) – pro zařazení do skupiny zpráv adresovaných věkovým skupinám, např. seniorům,</w:t>
      </w:r>
    </w:p>
    <w:p w14:paraId="44D8EEB1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adresa bydliště (nepovinná položka) – za účelem cílení zpráv podle lokality,</w:t>
      </w:r>
    </w:p>
    <w:p w14:paraId="5149D5B1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pohlaví (nepovinná položka) – za účelem demografického rozčlenění,</w:t>
      </w:r>
    </w:p>
    <w:p w14:paraId="1897B587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telefonní číslo – za účelem odeslání zprávy příjemci informací,</w:t>
      </w:r>
    </w:p>
    <w:p w14:paraId="0F1BC7CC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e-mailová adresa (nepovinná položka) – za účelem odeslání zprávy příjemci informací,</w:t>
      </w:r>
    </w:p>
    <w:p w14:paraId="37CCA916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občanem zadané podněty – za účelem zpracování/vyřešení podnětu,</w:t>
      </w:r>
    </w:p>
    <w:p w14:paraId="417F91E0" w14:textId="77777777" w:rsidR="00A50905" w:rsidRPr="00A50905" w:rsidRDefault="00A50905" w:rsidP="00A5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poloha (pouze v okamžiku hlášení podnětu občana pro jednoznačnou identifikaci polohy tohoto podnětu, a to pouze za předpokladu, že občan povolí přístup aplikaci k identifikaci polohy jeho mobilního prostředku – telefonu apod.) – za účelem identifikace polohy hlášeného podnětu.</w:t>
      </w:r>
    </w:p>
    <w:p w14:paraId="560C12E5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283DB0D6" w14:textId="77777777" w:rsidR="00A50905" w:rsidRPr="00A50905" w:rsidRDefault="00A50905" w:rsidP="003D7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 neposkytuje Poskytovateli souhlas s ukládáním a se zpracováním osobních údajů identifikujících pohyb registrovaného občana (GPS souřadnice, apod.).</w:t>
      </w:r>
    </w:p>
    <w:p w14:paraId="61B5CCD2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67F6E48" w14:textId="784AD33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v případě zrušení registrace občana Poskytovatel </w:t>
      </w:r>
      <w:r w:rsidR="00AC1BF7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neprodleně 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provede smazání veškerých jeho osobních údajů.</w:t>
      </w:r>
    </w:p>
    <w:p w14:paraId="31B67967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v případě ukončení platnosti smlouvy mezi Poskytovatelem a Uživatelem, provede Poskytovatel smazání veškerých osobních údajů registrovaných občanů v rámci obce Uživatele. </w:t>
      </w:r>
    </w:p>
    <w:p w14:paraId="405C3591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bookmarkStart w:id="5" w:name="_Hlk71180518"/>
      <w:bookmarkEnd w:id="4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zajistil, aby osoby pověřené zpracováním osobních údajů byly zavázány k mlčenlivosti, a to i po skončení jejich pracovního nebo jiného pracovněprávního vztahu, nebo aby se na ně vztahovala zákonná povinnost mlčenlivosti a provedl řádná technická a organizační opatření pro řádné zabezpečení zpracovávaných osobních údajů. Jedná se zejména o tato technická a organizační opatření:</w:t>
      </w:r>
    </w:p>
    <w:p w14:paraId="2C7FCAA7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šifrovaný přenos dat od poskytovatele,</w:t>
      </w:r>
    </w:p>
    <w:p w14:paraId="3D8E2D61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umístění datového úložiště s osobními údaji v profesionálním </w:t>
      </w:r>
      <w:proofErr w:type="spellStart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datacentru</w:t>
      </w:r>
      <w:proofErr w:type="spellEnd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ochranou proti neoprávněnému fyzickému vniknutí, které zabezpečuje ostraha fungující bez přerušení 24/7,</w:t>
      </w:r>
    </w:p>
    <w:p w14:paraId="126FAB5F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záloha dat prováděná do jiné lokality šifrovaným přenosem s přístupem pouze pověřených osob poskytovatele,</w:t>
      </w:r>
    </w:p>
    <w:p w14:paraId="610E19C7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zabezpečení serverů stavovým firewallem,</w:t>
      </w:r>
    </w:p>
    <w:p w14:paraId="74FFBEF5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lastRenderedPageBreak/>
        <w:t xml:space="preserve">ochrana proti </w:t>
      </w:r>
      <w:proofErr w:type="spellStart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DDoS</w:t>
      </w:r>
      <w:proofErr w:type="spellEnd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útokům,</w:t>
      </w:r>
    </w:p>
    <w:p w14:paraId="124DAAC7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přístup na servery pouze z privátní sítě určené pro programátory a techniky,</w:t>
      </w:r>
    </w:p>
    <w:p w14:paraId="489D4BD1" w14:textId="77777777" w:rsidR="00A50905" w:rsidRPr="00A50905" w:rsidRDefault="00A50905" w:rsidP="00A509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přístup uživatele k datům zabezpečen uživatelským heslem na úrovni aplikace.</w:t>
      </w:r>
    </w:p>
    <w:bookmarkEnd w:id="5"/>
    <w:p w14:paraId="55725B41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 správci nápomocen při vyřizování záležitostí vůči subjektům údajů i dozorovému úřadu. Uživatelem požadované údaje pro plnění povinností správce osobních údajů Poskytovatel poskytne Uživateli neprodleně.</w:t>
      </w:r>
    </w:p>
    <w:p w14:paraId="1F23ADA6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bookmarkStart w:id="6" w:name="_Hlk71180731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umožní správci plnit povinnosti správce vůči zpracovateli vyplývající z GDPR (audit úrovně zabezpečení osobních údajů, apod.).</w:t>
      </w:r>
    </w:p>
    <w:p w14:paraId="36C97566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zpracovávané osobní údaje budou poskytovatelem zpracovávány v rámci České republiky.</w:t>
      </w:r>
    </w:p>
    <w:p w14:paraId="69A99774" w14:textId="77777777" w:rsidR="00A50905" w:rsidRPr="00A50905" w:rsidRDefault="00A50905" w:rsidP="00A50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Poskytovatel smí využít pro zpracování osobních údajů třetí stranu pouze po doložitelném schválení správcem, a to pouze pro zajištění provozu komunikační platformy Mobilní rozhlas (ne pro marketingové účely, apod.). V době podepsání tohoto dodatku ke smlouvě je dalším zpracovatelem osobních údajů pro poskytovatele: </w:t>
      </w:r>
      <w:proofErr w:type="spellStart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iMakers</w:t>
      </w:r>
      <w:proofErr w:type="spellEnd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s.r.o. (IČ: 29228875) za účelem vývoje části mobilní aplikace, </w:t>
      </w:r>
      <w:proofErr w:type="spellStart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SMSbrána</w:t>
      </w:r>
      <w:proofErr w:type="spellEnd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s.r.o. (IČ: 067 19 350) za účelem poskytování SMS služeb.</w:t>
      </w:r>
    </w:p>
    <w:p w14:paraId="2A242F55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4938A2D3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Sankční ujednání:</w:t>
      </w:r>
    </w:p>
    <w:p w14:paraId="1CCB556B" w14:textId="77777777" w:rsidR="00A50905" w:rsidRPr="00A50905" w:rsidRDefault="00A50905" w:rsidP="00A50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 se s Poskytovatelem dohodli na tom, že pokud Poskytovatel poruší svoji povinnost vyplývající z této Smlouvy tak závažným způsobem, že Uživateli beze vší pochybnosti vznikne dle GDPR nebo zákona č. 110/2019 Sb. o zpracování osobních údajů, ve znění pozdějších předpisů, povinnost hlásit ztrátu osobních údajů dozorovému úřadu (Úřadu pro ochranu osobních údajů) a/nebo občanům, kteří tyto osobní údaje poskytli, je Poskytovatel povinen na písemnou výzvu Uživatele zaplatit Uživateli smluvní pokutu ve výši 10 000 Kč za každý takový případ. </w:t>
      </w:r>
    </w:p>
    <w:p w14:paraId="3F989867" w14:textId="77777777" w:rsidR="00A50905" w:rsidRPr="00A50905" w:rsidRDefault="00A50905" w:rsidP="00A50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 se s Poskytovatelem dohodli na tom, že v případě, že Poskytovatel poruší svoji povinnost vyplývající z této Smlouvy, jejíž porušení však nepovede k povinnosti hlásit ztrátu osobních údajů dozorovému úřadu (Úřadu pro ochranu osobních údajů) a zároveň pokud Poskytovatel nezjedná v dodatečně Uživatelem stanovené lhůtě, která nesmí být kratší než 5 pracovních dnů, nápravu následně dohodnutou s Uživatelem, vedoucí k eliminaci nebo snížení úrovně rizika, díky kterému k porušení povinnosti došlo, je Poskytovatel povinen na písemnou výzvu Uživatele zaplatit Uživateli smluvní pokutu ve výši 1 000 Kč za každý takový případ.</w:t>
      </w:r>
    </w:p>
    <w:p w14:paraId="5C1B798A" w14:textId="77777777" w:rsidR="00A50905" w:rsidRPr="00A50905" w:rsidRDefault="00A50905" w:rsidP="00A509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</w:tabs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Právo Uživatele požadovat po Poskytovateli náhradu způsobené škody v plné výši, není uhrazením smluvní pokuty dotčeno. </w:t>
      </w:r>
    </w:p>
    <w:bookmarkEnd w:id="6"/>
    <w:p w14:paraId="25127FF9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B3B3AFF" w14:textId="76FF01BB" w:rsidR="00A50905" w:rsidRPr="00A50905" w:rsidRDefault="00A50905" w:rsidP="00A50905">
      <w:pPr>
        <w:pStyle w:val="Seznamsodrkami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center"/>
        <w:rPr>
          <w:rFonts w:ascii="Quattrocento Sans" w:eastAsia="Quattrocento Sans" w:hAnsi="Quattrocento Sans" w:cs="Quattrocento Sans"/>
          <w:b/>
          <w:bCs/>
          <w:color w:val="000000"/>
          <w:szCs w:val="18"/>
        </w:rPr>
      </w:pPr>
      <w:r w:rsidRPr="00A50905">
        <w:rPr>
          <w:rFonts w:ascii="Quattrocento Sans" w:eastAsia="Quattrocento Sans" w:hAnsi="Quattrocento Sans" w:cs="Quattrocento Sans"/>
          <w:b/>
          <w:bCs/>
          <w:color w:val="000000"/>
          <w:szCs w:val="18"/>
        </w:rPr>
        <w:t>Závěrečná ujednání</w:t>
      </w:r>
    </w:p>
    <w:p w14:paraId="51C428F4" w14:textId="4A52FC0A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bCs/>
          <w:color w:val="000000"/>
          <w:sz w:val="18"/>
          <w:szCs w:val="18"/>
        </w:rPr>
      </w:pPr>
    </w:p>
    <w:p w14:paraId="6D640D00" w14:textId="77777777" w:rsidR="00A50905" w:rsidRPr="00A50905" w:rsidRDefault="00A50905" w:rsidP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253BC93" w14:textId="3E5E0DD6" w:rsidR="00A50905" w:rsidRPr="00A50905" w:rsidRDefault="00A50905" w:rsidP="003D7E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788"/>
        </w:tabs>
        <w:spacing w:after="0" w:line="240" w:lineRule="auto"/>
        <w:ind w:left="426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Nedílnou součástí smlouvy</w:t>
      </w:r>
      <w:r w:rsidR="003D7EE6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Technická specifikace systémů a doplňkových služeb </w:t>
      </w:r>
      <w:proofErr w:type="spellStart"/>
      <w:r w:rsidR="003D7EE6"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ekosytému</w:t>
      </w:r>
      <w:proofErr w:type="spellEnd"/>
      <w:r w:rsidR="003D7EE6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Mobilní Rozhlas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jsou Podmínky komunikační platformy Mobilní rozhlas včetně všech jejich příloh (</w:t>
      </w:r>
      <w:hyperlink r:id="rId11" w:history="1">
        <w:r w:rsidRPr="00A50905">
          <w:rPr>
            <w:rStyle w:val="Hypertextovodkaz"/>
            <w:rFonts w:ascii="Quattrocento Sans" w:eastAsia="Quattrocento Sans" w:hAnsi="Quattrocento Sans" w:cs="Quattrocento Sans"/>
            <w:sz w:val="18"/>
            <w:szCs w:val="18"/>
          </w:rPr>
          <w:t>https://www.mobilnirozhlas.cz/obchodni-podminky/</w:t>
        </w:r>
      </w:hyperlink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), Všeobecné podmínky poskytování služeb elektronických komunikací a Obchodní podmínky pro přenesení telefonního čísla dostupným na webových stránkách poskytovatele, se kterými se uživatel před podpisem této smlouvy seznámil.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 je oprávněn jednostranně měnit Podmínky nebo jejich část při změně technických, provozních, obchodních či organizačních podmínek na své straně nebo při změnách na trhu, a to v celém rozsahu. O všech změnách bude uživatel informován písemně nebo elektronickými prostředky s využitím údajů poskytnutých uživatelem, a to nejméně měsíc před nabytím účinnosti těchto změn. V případě, že uživatel s novými Podmínkami nebude souhlasit, je oprávněn tuto objednávku vypovědět s měsíční výpovědní dobou. V případě, že uživatel objednávku nevypoví, má se za to, že se změnou souhlasí. Pokud uživatel s novými Podmínkami nebude souhlasit a ani objednávku nevypoví, je oprávněn od objednávky odstoupit poskytovatel s měsíční výpovědní dobou.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Jakékoliv podmínky uvedené v této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objednávce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 čl. I až čl. V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I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které jsou v rozporu s výše uvedenými dokumenty v rámci tohoto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odstavce (tj. 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Podmínky komunikační platformy Mobilní rozhlas včetně všech jejich příloh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Všeobecné podmínky poskytování služeb elektronických komunikací a Obchodní podmínky pro přenesení telefonního čísla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jsou platné dle znění čl. I až čl. V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I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této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r w:rsidR="00784792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51762BBE" w14:textId="4F53AD66" w:rsidR="00A50905" w:rsidRPr="00A50905" w:rsidRDefault="00A50905" w:rsidP="003D7E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788"/>
        </w:tabs>
        <w:spacing w:after="0" w:line="240" w:lineRule="auto"/>
        <w:ind w:left="426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Uživatel je povinným subjektem dle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této objednávky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má povinnost uzavřenou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Objednávku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zveřejnit postupem podle zákona č. 340/2015 Sb., </w:t>
      </w:r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o zvláštních podmínkách účinnosti některých </w:t>
      </w:r>
      <w:bookmarkStart w:id="7" w:name="highlightHit_0"/>
      <w:bookmarkEnd w:id="7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smluv, uveřejňování těchto </w:t>
      </w:r>
      <w:bookmarkStart w:id="8" w:name="highlightHit_1"/>
      <w:bookmarkEnd w:id="8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smluv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a o </w:t>
      </w:r>
      <w:bookmarkStart w:id="9" w:name="highlightHit_2"/>
      <w:bookmarkEnd w:id="9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registru </w:t>
      </w:r>
      <w:bookmarkStart w:id="10" w:name="highlightHit_3"/>
      <w:bookmarkEnd w:id="10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smluv (dále jen „</w:t>
      </w:r>
      <w:bookmarkStart w:id="11" w:name="highlightHit_4"/>
      <w:bookmarkEnd w:id="11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registr </w:t>
      </w:r>
      <w:bookmarkStart w:id="12" w:name="highlightHit_5"/>
      <w:bookmarkEnd w:id="12"/>
      <w:r w:rsidRPr="00A50905">
        <w:rPr>
          <w:rFonts w:ascii="Quattrocento Sans" w:eastAsia="Quattrocento Sans" w:hAnsi="Quattrocento Sans" w:cs="Quattrocento Sans"/>
          <w:bCs/>
          <w:color w:val="000000"/>
          <w:sz w:val="18"/>
          <w:szCs w:val="18"/>
        </w:rPr>
        <w:t>smluv“),</w:t>
      </w:r>
      <w:r w:rsidRPr="00A50905">
        <w:rPr>
          <w:rFonts w:ascii="Quattrocento Sans" w:eastAsia="Quattrocento Sans" w:hAnsi="Quattrocento Sans" w:cs="Quattrocento Sans"/>
          <w:b/>
          <w:bCs/>
          <w:color w:val="000000"/>
          <w:sz w:val="18"/>
          <w:szCs w:val="18"/>
        </w:rPr>
        <w:t xml:space="preserve"> 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ve znění pozdějších </w:t>
      </w:r>
      <w:proofErr w:type="gramStart"/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předpisů..</w:t>
      </w:r>
      <w:proofErr w:type="gramEnd"/>
    </w:p>
    <w:p w14:paraId="764F79F2" w14:textId="507C44CB" w:rsidR="00F648E6" w:rsidRPr="00A50905" w:rsidRDefault="00F648E6" w:rsidP="00F648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788"/>
        </w:tabs>
        <w:spacing w:after="0" w:line="240" w:lineRule="auto"/>
        <w:ind w:left="426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Všechny smluvní strany souhlasí se zveřejněním osobních údajů a jiných údajů uvedených v textu smlouvy v registru smluv dle zákona č. 340/2015 Sb., o registru smluv, a to na dobu neurčitou.</w:t>
      </w:r>
    </w:p>
    <w:p w14:paraId="3D78F7C8" w14:textId="0B69E7C8" w:rsidR="00A50905" w:rsidRPr="00A50905" w:rsidRDefault="00A50905" w:rsidP="003D7E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788"/>
        </w:tabs>
        <w:spacing w:after="0" w:line="240" w:lineRule="auto"/>
        <w:ind w:left="426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Uzavření t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é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to </w:t>
      </w:r>
      <w:r w:rsidR="00784792"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schválila rada města na své chůzi dne </w:t>
      </w:r>
      <w:proofErr w:type="gramStart"/>
      <w:r w:rsidR="00721B5B">
        <w:rPr>
          <w:rFonts w:ascii="Quattrocento Sans" w:eastAsia="Quattrocento Sans" w:hAnsi="Quattrocento Sans" w:cs="Quattrocento Sans"/>
          <w:color w:val="000000"/>
          <w:sz w:val="18"/>
          <w:szCs w:val="18"/>
        </w:rPr>
        <w:t>1.11.2021</w:t>
      </w:r>
      <w:proofErr w:type="gramEnd"/>
      <w:r w:rsidR="00721B5B"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Pr="00A50905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usnesením č. </w:t>
      </w:r>
      <w:r w:rsidR="00721B5B">
        <w:rPr>
          <w:rFonts w:ascii="Quattrocento Sans" w:eastAsia="Quattrocento Sans" w:hAnsi="Quattrocento Sans" w:cs="Quattrocento Sans"/>
          <w:color w:val="000000"/>
          <w:sz w:val="18"/>
          <w:szCs w:val="18"/>
        </w:rPr>
        <w:t>1926/128/RM/2021</w:t>
      </w:r>
    </w:p>
    <w:p w14:paraId="42146C85" w14:textId="2494122B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5F89CC04" w14:textId="4464B1D6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6607264C" w14:textId="77777777" w:rsidR="00A50905" w:rsidRDefault="00A5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922C419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 w:after="0" w:line="240" w:lineRule="auto"/>
        <w:ind w:left="357" w:hanging="357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Zodpovědný obchodník (Jméno, Tel., E-mail)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  <w:t>Poznámka</w:t>
      </w:r>
    </w:p>
    <w:tbl>
      <w:tblPr>
        <w:tblStyle w:val="a8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8E2ACF" w14:paraId="71452857" w14:textId="77777777">
        <w:trPr>
          <w:trHeight w:val="254"/>
        </w:trPr>
        <w:tc>
          <w:tcPr>
            <w:tcW w:w="4590" w:type="dxa"/>
            <w:vAlign w:val="center"/>
          </w:tcPr>
          <w:p w14:paraId="05C9CF8C" w14:textId="77777777" w:rsidR="008E2ACF" w:rsidRDefault="008E2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2A2BE6E2" w14:textId="2333EF56" w:rsidR="008E2ACF" w:rsidRDefault="00671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2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 w:rsidRPr="0067129E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Tato objednávka 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nahrazuje</w:t>
            </w:r>
            <w:r w:rsidRPr="0067129E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objednávky služeb Mobilní Rozhlas (#1 Systém pro komunikaci, #2 podn</w:t>
            </w:r>
            <w:r w:rsidRPr="0067129E">
              <w:rPr>
                <w:rFonts w:ascii="Calibri" w:eastAsia="Quattrocento Sans" w:hAnsi="Calibri" w:cs="Calibri"/>
                <w:color w:val="000000"/>
                <w:sz w:val="18"/>
                <w:szCs w:val="18"/>
              </w:rPr>
              <w:t>ě</w:t>
            </w:r>
            <w:r w:rsidRPr="0067129E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ty, #3 Ankety) z </w:t>
            </w:r>
            <w:proofErr w:type="gramStart"/>
            <w:r w:rsidRPr="0067129E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19.02.2018</w:t>
            </w:r>
            <w:proofErr w:type="gramEnd"/>
            <w:r w:rsidR="000050BD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</w:tc>
      </w:tr>
    </w:tbl>
    <w:p w14:paraId="0529934F" w14:textId="77777777" w:rsidR="008E2ACF" w:rsidRDefault="00662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lastRenderedPageBreak/>
        <w:t>Všechny ceny jsou uvedeny bez DPH.</w:t>
      </w:r>
    </w:p>
    <w:p w14:paraId="2705015C" w14:textId="77777777" w:rsidR="008E2ACF" w:rsidRDefault="008E2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Quattrocento Sans" w:eastAsia="Quattrocento Sans" w:hAnsi="Quattrocento Sans" w:cs="Quattrocento Sans"/>
          <w:color w:val="000000"/>
          <w:sz w:val="10"/>
          <w:szCs w:val="10"/>
        </w:rPr>
      </w:pPr>
    </w:p>
    <w:p w14:paraId="06120117" w14:textId="77777777" w:rsidR="008E2ACF" w:rsidRDefault="008E2ACF">
      <w:pPr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14:paraId="7BC07A96" w14:textId="7A8238A4" w:rsidR="008E2ACF" w:rsidRDefault="00662818">
      <w:pPr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V Brně dne…………………………….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BE6E70"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</w:rPr>
        <w:t>V ………………… dne……………………………….</w:t>
      </w:r>
    </w:p>
    <w:p w14:paraId="222BC547" w14:textId="77777777" w:rsidR="008E2ACF" w:rsidRDefault="008E2ACF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14:paraId="043C0725" w14:textId="77777777" w:rsidR="008E2ACF" w:rsidRDefault="008E2ACF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14:paraId="0DEABB76" w14:textId="77777777" w:rsidR="008E2ACF" w:rsidRDefault="00662818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</w:p>
    <w:p w14:paraId="01264702" w14:textId="70C3D6CC" w:rsidR="008E2ACF" w:rsidRDefault="00662818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………………………………………………………….</w:t>
      </w:r>
    </w:p>
    <w:p w14:paraId="347EC07D" w14:textId="24144D9E" w:rsidR="008E2ACF" w:rsidRDefault="00662818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za poskytovatele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za uživatele</w:t>
      </w:r>
    </w:p>
    <w:p w14:paraId="7DAB4E0E" w14:textId="77777777" w:rsidR="008E2ACF" w:rsidRDefault="008E2ACF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14:paraId="78ED97A7" w14:textId="213F35E2" w:rsidR="00721B5B" w:rsidRDefault="00662818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Mgr. Ondřej Švrček, jednatel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721B5B">
        <w:rPr>
          <w:rFonts w:ascii="Quattrocento Sans" w:eastAsia="Quattrocento Sans" w:hAnsi="Quattrocento Sans" w:cs="Quattrocento Sans"/>
          <w:sz w:val="18"/>
          <w:szCs w:val="18"/>
        </w:rPr>
        <w:t>Bc. Michal Boudný, starosta města</w:t>
      </w:r>
    </w:p>
    <w:p w14:paraId="2FDE61D7" w14:textId="3407ACEE" w:rsidR="008E2ACF" w:rsidRDefault="00721B5B" w:rsidP="00721B5B">
      <w:pPr>
        <w:tabs>
          <w:tab w:val="left" w:pos="709"/>
          <w:tab w:val="left" w:pos="5103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662818"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………………………………………………………….</w:t>
      </w:r>
    </w:p>
    <w:p w14:paraId="015C42CF" w14:textId="77777777" w:rsidR="008E2ACF" w:rsidRDefault="00662818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bookmarkStart w:id="13" w:name="_GoBack"/>
      <w:bookmarkEnd w:id="13"/>
      <w:r>
        <w:rPr>
          <w:rFonts w:ascii="Quattrocento Sans" w:eastAsia="Quattrocento Sans" w:hAnsi="Quattrocento Sans" w:cs="Quattrocento Sans"/>
          <w:sz w:val="18"/>
          <w:szCs w:val="18"/>
        </w:rPr>
        <w:t>Jméno, Příjmení, funkce</w:t>
      </w:r>
    </w:p>
    <w:sectPr w:rsidR="008E2A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6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EB2D" w14:textId="77777777" w:rsidR="00E43182" w:rsidRDefault="00E43182">
      <w:pPr>
        <w:spacing w:after="0" w:line="240" w:lineRule="auto"/>
      </w:pPr>
      <w:r>
        <w:separator/>
      </w:r>
    </w:p>
  </w:endnote>
  <w:endnote w:type="continuationSeparator" w:id="0">
    <w:p w14:paraId="2572DB15" w14:textId="77777777" w:rsidR="00E43182" w:rsidRDefault="00E4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BCC2" w14:textId="77777777" w:rsidR="008E2ACF" w:rsidRDefault="008E2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BC87F" w14:textId="25A6D11E" w:rsidR="008E2ACF" w:rsidRDefault="0066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16"/>
        <w:szCs w:val="16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begin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instrText>PAGE</w:instrTex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separate"/>
    </w:r>
    <w:r w:rsidR="00721B5B">
      <w:rPr>
        <w:rFonts w:ascii="Quattrocento Sans" w:eastAsia="Quattrocento Sans" w:hAnsi="Quattrocento Sans" w:cs="Quattrocento Sans"/>
        <w:noProof/>
        <w:color w:val="000000"/>
        <w:sz w:val="16"/>
        <w:szCs w:val="16"/>
      </w:rPr>
      <w:t>2</w: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end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>Licence a služby pro</w:t>
    </w:r>
    <w:r>
      <w:rPr>
        <w:rFonts w:ascii="Quattrocento Sans" w:eastAsia="Quattrocento Sans" w:hAnsi="Quattrocento Sans" w:cs="Quattrocento Sans"/>
        <w:b/>
        <w:i/>
        <w:color w:val="000000"/>
        <w:sz w:val="16"/>
        <w:szCs w:val="16"/>
      </w:rPr>
      <w:t xml:space="preserve"> samosprávu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EB71" w14:textId="77777777" w:rsidR="008E2ACF" w:rsidRDefault="008E2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C4101" w14:textId="77777777" w:rsidR="00E43182" w:rsidRDefault="00E43182">
      <w:pPr>
        <w:spacing w:after="0" w:line="240" w:lineRule="auto"/>
      </w:pPr>
      <w:r>
        <w:separator/>
      </w:r>
    </w:p>
  </w:footnote>
  <w:footnote w:type="continuationSeparator" w:id="0">
    <w:p w14:paraId="19516D87" w14:textId="77777777" w:rsidR="00E43182" w:rsidRDefault="00E4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E078" w14:textId="77777777" w:rsidR="008E2ACF" w:rsidRDefault="008E2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0F2C" w14:textId="77777777" w:rsidR="008E2ACF" w:rsidRDefault="0066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10"/>
      </w:tabs>
      <w:spacing w:after="0" w:line="240" w:lineRule="auto"/>
      <w:ind w:left="4695" w:hanging="4695"/>
      <w:jc w:val="right"/>
      <w:rPr>
        <w:rFonts w:ascii="Arial" w:eastAsia="Arial" w:hAnsi="Arial" w:cs="Arial"/>
        <w:i/>
        <w:color w:val="00B05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  <w:t>Jednička na trhu SMART komunikace s občany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222563D9" wp14:editId="0F743E99">
          <wp:simplePos x="0" y="0"/>
          <wp:positionH relativeFrom="column">
            <wp:posOffset>-34289</wp:posOffset>
          </wp:positionH>
          <wp:positionV relativeFrom="paragraph">
            <wp:posOffset>92710</wp:posOffset>
          </wp:positionV>
          <wp:extent cx="1466603" cy="212748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8112D" w14:textId="77777777" w:rsidR="008E2ACF" w:rsidRDefault="0066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40"/>
      </w:tabs>
      <w:spacing w:after="0" w:line="240" w:lineRule="auto"/>
      <w:ind w:left="4695" w:hanging="4695"/>
      <w:jc w:val="right"/>
      <w:rPr>
        <w:rFonts w:ascii="Arial" w:eastAsia="Arial" w:hAnsi="Arial" w:cs="Arial"/>
        <w:b/>
        <w:i/>
        <w:color w:val="00B05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>Více než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 1 500 zapojených samospráv </w:t>
    </w:r>
    <w:r>
      <w:rPr>
        <w:rFonts w:ascii="Arial" w:eastAsia="Arial" w:hAnsi="Arial" w:cs="Arial"/>
        <w:i/>
        <w:color w:val="00B050"/>
        <w:sz w:val="16"/>
        <w:szCs w:val="16"/>
      </w:rPr>
      <w:t>a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 500 000 občanů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2683" w14:textId="77777777" w:rsidR="008E2ACF" w:rsidRDefault="006628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4673F04" w14:textId="77777777" w:rsidR="008E2ACF" w:rsidRDefault="008E2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78"/>
    <w:multiLevelType w:val="hybridMultilevel"/>
    <w:tmpl w:val="34064440"/>
    <w:lvl w:ilvl="0" w:tplc="B25CF466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96FA99A4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plc="979600BE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 w:tplc="D1D8E3E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D86E3BA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 w:tplc="1CF2FA10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 w:tplc="D8B663AA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A020D56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 w:tplc="DAF456FE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abstractNum w:abstractNumId="1">
    <w:nsid w:val="48E425B9"/>
    <w:multiLevelType w:val="multilevel"/>
    <w:tmpl w:val="E586F766"/>
    <w:lvl w:ilvl="0">
      <w:start w:val="1"/>
      <w:numFmt w:val="decimal"/>
      <w:lvlText w:val="%1."/>
      <w:lvlJc w:val="left"/>
      <w:pPr>
        <w:ind w:left="45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5B4A"/>
    <w:multiLevelType w:val="hybridMultilevel"/>
    <w:tmpl w:val="FC8E65F4"/>
    <w:lvl w:ilvl="0" w:tplc="B1CC6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88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84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0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4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B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4F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44135"/>
    <w:multiLevelType w:val="multilevel"/>
    <w:tmpl w:val="B5D2B33E"/>
    <w:lvl w:ilvl="0">
      <w:start w:val="1"/>
      <w:numFmt w:val="upperRoman"/>
      <w:pStyle w:val="Seznamsodrkami"/>
      <w:lvlText w:val="%1."/>
      <w:lvlJc w:val="center"/>
      <w:pPr>
        <w:ind w:left="3913" w:firstLine="340"/>
      </w:pPr>
      <w:rPr>
        <w:rFonts w:ascii="Quattrocento Sans" w:eastAsia="Quattrocento Sans" w:hAnsi="Quattrocento Sans" w:cs="Quattrocento Sans"/>
        <w:b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357" w:hanging="357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737" w:hanging="3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FE9439F"/>
    <w:multiLevelType w:val="multilevel"/>
    <w:tmpl w:val="C1DCA196"/>
    <w:lvl w:ilvl="0">
      <w:start w:val="1"/>
      <w:numFmt w:val="bullet"/>
      <w:pStyle w:val="Nadpis1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lnek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4B50FF"/>
    <w:multiLevelType w:val="hybridMultilevel"/>
    <w:tmpl w:val="0764E142"/>
    <w:lvl w:ilvl="0" w:tplc="60843C88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B262E62A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 w:tplc="7A4E8E1E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 w:tplc="7DB656D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CB980038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 w:tplc="B60A163A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 w:tplc="33EC76F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8E62E620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 w:tplc="1AD6F17A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F"/>
    <w:rsid w:val="000050BD"/>
    <w:rsid w:val="00077585"/>
    <w:rsid w:val="003D7EE6"/>
    <w:rsid w:val="00415818"/>
    <w:rsid w:val="00463B22"/>
    <w:rsid w:val="005D05A4"/>
    <w:rsid w:val="00662818"/>
    <w:rsid w:val="00665224"/>
    <w:rsid w:val="0067129E"/>
    <w:rsid w:val="00680F79"/>
    <w:rsid w:val="00692017"/>
    <w:rsid w:val="006C5578"/>
    <w:rsid w:val="0070361F"/>
    <w:rsid w:val="00721B5B"/>
    <w:rsid w:val="0074267B"/>
    <w:rsid w:val="00784792"/>
    <w:rsid w:val="008E2ACF"/>
    <w:rsid w:val="009D191A"/>
    <w:rsid w:val="00A50905"/>
    <w:rsid w:val="00AC1BF7"/>
    <w:rsid w:val="00BE6E70"/>
    <w:rsid w:val="00DE0093"/>
    <w:rsid w:val="00E43182"/>
    <w:rsid w:val="00E7739F"/>
    <w:rsid w:val="00F42CD4"/>
    <w:rsid w:val="00F648E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3A8"/>
    <w:pPr>
      <w:keepNext/>
      <w:numPr>
        <w:numId w:val="1"/>
      </w:numPr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74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214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147C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3A8"/>
    <w:pPr>
      <w:keepNext/>
      <w:numPr>
        <w:numId w:val="1"/>
      </w:numPr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74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214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147C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bilnirozhlas.cz/obchodni-podmink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dvo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ZHoos75tO0FOowhKLDuk+Kx4A==">AMUW2mXwN5vp5IO+nQWsAqWRTvVyQAqeJod7eksE0yww2H/dDMN6YHzaXetD+kh8gIgFr+7AP2YggO5TF1AoRYb3ch0tNWfTwJ0ej1zXYLM2LG4KJ7Aws4M0haCPkdAX8+IybQ1t1Ara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1939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Misa</dc:creator>
  <cp:lastModifiedBy>Petra Pospíchalová Nedvědová</cp:lastModifiedBy>
  <cp:revision>3</cp:revision>
  <dcterms:created xsi:type="dcterms:W3CDTF">2021-12-03T10:06:00Z</dcterms:created>
  <dcterms:modified xsi:type="dcterms:W3CDTF">2021-12-03T10:10:00Z</dcterms:modified>
</cp:coreProperties>
</file>