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4D" w:rsidRDefault="00653F4D" w:rsidP="005B6348">
      <w:pPr>
        <w:pStyle w:val="Nzev"/>
        <w:rPr>
          <w:rFonts w:ascii="Arial" w:hAnsi="Arial" w:cs="Arial"/>
          <w:sz w:val="36"/>
          <w:szCs w:val="36"/>
        </w:rPr>
      </w:pPr>
    </w:p>
    <w:p w:rsidR="003A0132" w:rsidRDefault="00DE7D44" w:rsidP="005B6348">
      <w:pPr>
        <w:pStyle w:val="Nzev"/>
        <w:rPr>
          <w:rFonts w:ascii="Arial" w:hAnsi="Arial" w:cs="Arial"/>
          <w:sz w:val="36"/>
          <w:szCs w:val="36"/>
        </w:rPr>
      </w:pPr>
      <w:r w:rsidRPr="00DE7D44">
        <w:rPr>
          <w:rFonts w:ascii="Arial" w:hAnsi="Arial" w:cs="Arial"/>
          <w:sz w:val="36"/>
          <w:szCs w:val="36"/>
        </w:rPr>
        <w:t>Dodatek č.</w:t>
      </w:r>
      <w:r w:rsidR="00544360">
        <w:rPr>
          <w:rFonts w:ascii="Arial" w:hAnsi="Arial" w:cs="Arial"/>
          <w:sz w:val="36"/>
          <w:szCs w:val="36"/>
        </w:rPr>
        <w:t xml:space="preserve"> </w:t>
      </w:r>
      <w:r w:rsidR="0082529B">
        <w:rPr>
          <w:rFonts w:ascii="Arial" w:hAnsi="Arial" w:cs="Arial"/>
          <w:sz w:val="36"/>
          <w:szCs w:val="36"/>
        </w:rPr>
        <w:t>1</w:t>
      </w:r>
    </w:p>
    <w:p w:rsidR="00B71388" w:rsidRPr="00DE7D44" w:rsidRDefault="00131DA1" w:rsidP="005B6348">
      <w:pPr>
        <w:pStyle w:val="Nzev"/>
        <w:rPr>
          <w:rFonts w:ascii="Arial" w:hAnsi="Arial" w:cs="Arial"/>
          <w:sz w:val="36"/>
          <w:szCs w:val="36"/>
        </w:rPr>
      </w:pPr>
      <w:r w:rsidRPr="00DE7D44">
        <w:rPr>
          <w:rFonts w:ascii="Arial" w:hAnsi="Arial" w:cs="Arial"/>
          <w:sz w:val="36"/>
          <w:szCs w:val="36"/>
        </w:rPr>
        <w:t xml:space="preserve"> ke smlouvě o dílo</w:t>
      </w:r>
      <w:r w:rsidR="00DE7D44" w:rsidRPr="00DE7D44">
        <w:rPr>
          <w:rFonts w:ascii="Arial" w:hAnsi="Arial" w:cs="Arial"/>
          <w:sz w:val="36"/>
          <w:szCs w:val="36"/>
        </w:rPr>
        <w:t xml:space="preserve"> č. </w:t>
      </w:r>
      <w:r w:rsidR="00D758FE" w:rsidRPr="00D758FE">
        <w:rPr>
          <w:rFonts w:ascii="Arial" w:hAnsi="Arial" w:cs="Arial"/>
          <w:sz w:val="36"/>
          <w:szCs w:val="36"/>
        </w:rPr>
        <w:t>3008H1210012</w:t>
      </w:r>
    </w:p>
    <w:p w:rsidR="00DE7D44" w:rsidRPr="000B3698" w:rsidRDefault="00131DA1" w:rsidP="005B6348">
      <w:pPr>
        <w:pStyle w:val="Nzev"/>
        <w:rPr>
          <w:rFonts w:ascii="Arial" w:hAnsi="Arial" w:cs="Arial"/>
          <w:sz w:val="22"/>
        </w:rPr>
      </w:pPr>
      <w:r w:rsidRPr="000B3698">
        <w:rPr>
          <w:rFonts w:ascii="Arial" w:hAnsi="Arial" w:cs="Arial"/>
          <w:sz w:val="22"/>
        </w:rPr>
        <w:tab/>
      </w:r>
      <w:r w:rsidR="00A359FF" w:rsidRPr="000B3698">
        <w:rPr>
          <w:rFonts w:ascii="Arial" w:hAnsi="Arial" w:cs="Arial"/>
          <w:sz w:val="22"/>
        </w:rPr>
        <w:t>z</w:t>
      </w:r>
      <w:r w:rsidR="00DE7D44" w:rsidRPr="000B3698">
        <w:rPr>
          <w:rFonts w:ascii="Arial" w:hAnsi="Arial" w:cs="Arial"/>
          <w:sz w:val="22"/>
        </w:rPr>
        <w:t xml:space="preserve">e dne </w:t>
      </w:r>
      <w:r w:rsidR="00D758FE">
        <w:rPr>
          <w:rFonts w:ascii="Arial" w:hAnsi="Arial" w:cs="Arial"/>
          <w:sz w:val="22"/>
        </w:rPr>
        <w:t>18. 11. 2021</w:t>
      </w:r>
      <w:r w:rsidR="00DE7D44" w:rsidRPr="000B3698">
        <w:rPr>
          <w:rFonts w:ascii="Arial" w:hAnsi="Arial" w:cs="Arial"/>
          <w:sz w:val="22"/>
        </w:rPr>
        <w:t xml:space="preserve"> </w:t>
      </w:r>
    </w:p>
    <w:p w:rsidR="00457C65" w:rsidRDefault="00457C65" w:rsidP="005B6348">
      <w:pPr>
        <w:pStyle w:val="Podnadpis1"/>
        <w:rPr>
          <w:u w:val="none"/>
        </w:rPr>
      </w:pPr>
    </w:p>
    <w:p w:rsidR="00653F4D" w:rsidRPr="00653F4D" w:rsidRDefault="00653F4D" w:rsidP="005B6348">
      <w:pPr>
        <w:pStyle w:val="Textbody"/>
      </w:pPr>
    </w:p>
    <w:p w:rsidR="0082529B" w:rsidRPr="0082529B" w:rsidRDefault="0082529B" w:rsidP="005B6348">
      <w:pPr>
        <w:pStyle w:val="Textbody"/>
      </w:pPr>
    </w:p>
    <w:p w:rsidR="00A359FF" w:rsidRDefault="00131DA1" w:rsidP="005B6348">
      <w:pPr>
        <w:pStyle w:val="Podnadpis1"/>
        <w:rPr>
          <w:u w:val="none"/>
        </w:rPr>
      </w:pPr>
      <w:r>
        <w:rPr>
          <w:u w:val="none"/>
        </w:rPr>
        <w:t>Účastníci smlouvy</w:t>
      </w:r>
    </w:p>
    <w:p w:rsidR="00653F4D" w:rsidRDefault="00653F4D" w:rsidP="005B6348">
      <w:pPr>
        <w:pStyle w:val="Textbody"/>
      </w:pPr>
    </w:p>
    <w:p w:rsidR="000F4C0F" w:rsidRDefault="000F4C0F" w:rsidP="005B6348">
      <w:pPr>
        <w:pStyle w:val="Textbody"/>
      </w:pPr>
    </w:p>
    <w:p w:rsidR="00653F4D" w:rsidRPr="00653F4D" w:rsidRDefault="00653F4D" w:rsidP="005B6348">
      <w:pPr>
        <w:pStyle w:val="Textbody"/>
      </w:pPr>
    </w:p>
    <w:p w:rsidR="00653F4D" w:rsidRPr="00653F4D" w:rsidRDefault="00653F4D" w:rsidP="005B6348">
      <w:pPr>
        <w:pStyle w:val="Textbody"/>
      </w:pPr>
    </w:p>
    <w:p w:rsidR="00D758FE" w:rsidRPr="00D758FE" w:rsidRDefault="00D758FE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/>
          <w:bCs/>
          <w:kern w:val="0"/>
          <w:sz w:val="20"/>
          <w:szCs w:val="22"/>
          <w:lang w:eastAsia="ar-SA" w:bidi="ar-SA"/>
        </w:rPr>
        <w:t>Národní památkový ústav</w:t>
      </w:r>
    </w:p>
    <w:p w:rsidR="00D758FE" w:rsidRPr="00D758FE" w:rsidRDefault="00D758FE" w:rsidP="005B63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/>
          <w:bCs/>
          <w:kern w:val="0"/>
          <w:sz w:val="20"/>
          <w:szCs w:val="22"/>
          <w:lang w:eastAsia="ar-SA" w:bidi="ar-SA"/>
        </w:rPr>
        <w:t xml:space="preserve">státní příspěvková organizace </w:t>
      </w:r>
    </w:p>
    <w:p w:rsidR="00D758FE" w:rsidRPr="00D758FE" w:rsidRDefault="00D758FE" w:rsidP="005B63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IČ: 75032333, DIČ: CZ75032333 </w:t>
      </w:r>
      <w:r w:rsidRPr="00D758FE"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D758FE">
        <w:rPr>
          <w:rFonts w:ascii="Arial" w:eastAsia="Times New Roman" w:hAnsi="Arial" w:cs="Arial"/>
          <w:b/>
          <w:bCs/>
          <w:kern w:val="0"/>
          <w:sz w:val="20"/>
          <w:szCs w:val="22"/>
          <w:lang w:eastAsia="ar-SA" w:bidi="ar-SA"/>
        </w:rPr>
        <w:t>ve znění pozdějších předpisů</w:t>
      </w:r>
      <w:r w:rsidRPr="00D758FE"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  <w:t>)</w:t>
      </w:r>
    </w:p>
    <w:p w:rsidR="00D758FE" w:rsidRPr="00D758FE" w:rsidRDefault="00D758FE" w:rsidP="005B63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se sídlem: Valdštejnské nám. 162/3, 118 01 Praha 1 – Malá Strana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zastoupený Mgr. Petrem Pavelcem, Ph.D., ředitelem Územní památkové správy v Českých Budějovicích, s územní působností pro Jihočeský kraj, Plzeňský kraj a kraj Vysočina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/>
          <w:bCs/>
          <w:iCs/>
          <w:kern w:val="0"/>
          <w:sz w:val="20"/>
          <w:szCs w:val="22"/>
          <w:lang w:eastAsia="ar-SA" w:bidi="ar-SA"/>
        </w:rPr>
        <w:t>Doručovací adresa: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Cs/>
          <w:iCs/>
          <w:kern w:val="0"/>
          <w:sz w:val="20"/>
          <w:szCs w:val="22"/>
          <w:lang w:eastAsia="ar-SA" w:bidi="ar-SA"/>
        </w:rPr>
        <w:t>Národní památkový ústav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Územní památková správa v Českých Budějovicích, 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Náměstí Přemysla Otakara II. 34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370 21 České Budějovice 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</w:p>
    <w:p w:rsidR="00D758FE" w:rsidRPr="00D758FE" w:rsidRDefault="00D758FE" w:rsidP="005B6348">
      <w:pPr>
        <w:keepNext/>
        <w:keepLines/>
        <w:widowControl/>
        <w:tabs>
          <w:tab w:val="left" w:pos="5103"/>
        </w:tabs>
        <w:autoSpaceDN/>
        <w:spacing w:before="40"/>
        <w:textAlignment w:val="auto"/>
        <w:outlineLvl w:val="5"/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  <w:t>Osoby oprávněné k jednání ve věcech smluvních:</w:t>
      </w:r>
      <w:r w:rsidRPr="00D758FE"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  <w:tab/>
        <w:t xml:space="preserve">Mgr. Petr Pavelec, Ph.D., ředitel </w:t>
      </w:r>
    </w:p>
    <w:p w:rsidR="00D758FE" w:rsidRPr="00D758FE" w:rsidRDefault="00D758FE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textAlignment w:val="auto"/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>Osoby oprávněné k jednání ve věcech technických:</w:t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="001111A3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>XXXXXXXXXX</w:t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>, kastelán</w:t>
      </w:r>
    </w:p>
    <w:p w:rsidR="00D758FE" w:rsidRPr="00D758FE" w:rsidRDefault="00D758FE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2"/>
          <w:shd w:val="clear" w:color="auto" w:fill="FFFF00"/>
          <w:lang w:eastAsia="ar-SA" w:bidi="ar-SA"/>
        </w:rPr>
      </w:pP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ab/>
      </w:r>
      <w:r w:rsidR="001111A3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>XXXXXXXX</w:t>
      </w:r>
      <w:r w:rsidRPr="00D758FE"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  <w:t>, investiční referent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shd w:val="clear" w:color="auto" w:fill="FFFF00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(dále jen </w:t>
      </w:r>
      <w:r w:rsidRPr="00D758FE"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  <w:t>„příkazce“</w:t>
      </w: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)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shd w:val="clear" w:color="auto" w:fill="FFFF00"/>
          <w:lang w:eastAsia="ar-SA" w:bidi="ar-SA"/>
        </w:rPr>
      </w:pP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b/>
          <w:kern w:val="0"/>
          <w:sz w:val="18"/>
          <w:szCs w:val="20"/>
          <w:lang w:eastAsia="ar-SA" w:bidi="ar-SA"/>
        </w:rPr>
      </w:pPr>
      <w:r w:rsidRPr="00D758FE">
        <w:rPr>
          <w:rFonts w:ascii="Arial" w:eastAsia="Times New Roman" w:hAnsi="Arial" w:cs="Arial"/>
          <w:b/>
          <w:kern w:val="0"/>
          <w:sz w:val="18"/>
          <w:szCs w:val="20"/>
          <w:lang w:eastAsia="ar-SA" w:bidi="ar-SA"/>
        </w:rPr>
        <w:t>a</w:t>
      </w:r>
    </w:p>
    <w:p w:rsidR="00D758FE" w:rsidRPr="00D758FE" w:rsidRDefault="00D758FE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kern w:val="0"/>
          <w:sz w:val="18"/>
          <w:szCs w:val="20"/>
          <w:highlight w:val="yellow"/>
          <w:shd w:val="clear" w:color="auto" w:fill="C0C0C0"/>
          <w:lang w:eastAsia="ar-SA" w:bidi="ar-SA"/>
        </w:rPr>
      </w:pPr>
    </w:p>
    <w:p w:rsidR="00D758FE" w:rsidRPr="00D758FE" w:rsidRDefault="00D758FE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highlight w:val="yellow"/>
          <w:shd w:val="clear" w:color="auto" w:fill="C0C0C0"/>
          <w:lang w:eastAsia="ar-SA" w:bidi="ar-SA"/>
        </w:rPr>
      </w:pPr>
    </w:p>
    <w:p w:rsidR="00D758FE" w:rsidRPr="00D758FE" w:rsidRDefault="00D758FE" w:rsidP="005B6348">
      <w:pPr>
        <w:widowControl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  <w:t>Ing. Karel Mikeš</w:t>
      </w:r>
    </w:p>
    <w:p w:rsidR="00D758FE" w:rsidRPr="00D758FE" w:rsidRDefault="00D758FE" w:rsidP="005B6348">
      <w:pPr>
        <w:widowControl/>
        <w:autoSpaceDN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Nad hřištěm 207, 273 24 Římov</w:t>
      </w:r>
    </w:p>
    <w:p w:rsidR="00D758FE" w:rsidRPr="00D758FE" w:rsidRDefault="00D758FE" w:rsidP="005B6348">
      <w:pPr>
        <w:widowControl/>
        <w:autoSpaceDN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IČ: 10286560, DIČ: příkazník není plátcem DPH</w:t>
      </w:r>
    </w:p>
    <w:p w:rsidR="00D758FE" w:rsidRPr="00D758FE" w:rsidRDefault="00D758FE" w:rsidP="005B6348">
      <w:pPr>
        <w:widowControl/>
        <w:autoSpaceDN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</w:p>
    <w:p w:rsidR="00D758FE" w:rsidRPr="00D758FE" w:rsidRDefault="00D758FE" w:rsidP="005B6348">
      <w:pPr>
        <w:widowControl/>
        <w:autoSpaceDN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Oprávnění k podnikatelské činnosti:</w:t>
      </w:r>
    </w:p>
    <w:p w:rsidR="00D758FE" w:rsidRPr="00D758FE" w:rsidRDefault="00D758FE" w:rsidP="005B6348">
      <w:pPr>
        <w:widowControl/>
        <w:autoSpaceDN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živnostenské oprávnění Projektová činnost ve výstavbě, ze dne 11. 5. 2020 dle </w:t>
      </w:r>
      <w:proofErr w:type="gramStart"/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Výpisu z ŽR</w:t>
      </w:r>
      <w:proofErr w:type="gramEnd"/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č. j.: Ž/3267/2020/MV41568/6</w:t>
      </w:r>
    </w:p>
    <w:p w:rsidR="00D758FE" w:rsidRPr="00D758FE" w:rsidRDefault="00D758FE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osvědčení o autorizaci č. 0100096 ČKAIT ze dne 4. 1. 1994</w:t>
      </w:r>
    </w:p>
    <w:p w:rsidR="00D758FE" w:rsidRPr="00D758FE" w:rsidRDefault="00D758FE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textAlignment w:val="auto"/>
        <w:rPr>
          <w:rFonts w:ascii="Arial" w:eastAsia="Times New Roman" w:hAnsi="Arial" w:cs="Arial"/>
          <w:b/>
          <w:iCs/>
          <w:kern w:val="0"/>
          <w:sz w:val="20"/>
          <w:szCs w:val="22"/>
          <w:lang w:eastAsia="ar-SA" w:bidi="ar-SA"/>
        </w:rPr>
      </w:pPr>
    </w:p>
    <w:p w:rsidR="00D758FE" w:rsidRPr="00D758FE" w:rsidRDefault="00D758FE" w:rsidP="005B6348">
      <w:pPr>
        <w:keepNext/>
        <w:widowControl/>
        <w:autoSpaceDN/>
        <w:jc w:val="both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2"/>
          <w:lang w:eastAsia="cs-CZ" w:bidi="ar-SA"/>
        </w:rPr>
      </w:pP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(dále jen </w:t>
      </w:r>
      <w:r w:rsidRPr="00D758FE">
        <w:rPr>
          <w:rFonts w:ascii="Arial" w:eastAsia="Times New Roman" w:hAnsi="Arial" w:cs="Arial"/>
          <w:b/>
          <w:kern w:val="0"/>
          <w:sz w:val="20"/>
          <w:szCs w:val="22"/>
          <w:lang w:eastAsia="ar-SA" w:bidi="ar-SA"/>
        </w:rPr>
        <w:t>„příkazník“</w:t>
      </w:r>
      <w:r w:rsidRPr="00D758FE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)</w:t>
      </w:r>
    </w:p>
    <w:p w:rsidR="0082529B" w:rsidRPr="0082529B" w:rsidRDefault="0082529B" w:rsidP="005B6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bCs/>
          <w:kern w:val="0"/>
          <w:sz w:val="18"/>
          <w:szCs w:val="20"/>
          <w:lang w:eastAsia="ar-SA" w:bidi="ar-SA"/>
        </w:rPr>
      </w:pPr>
    </w:p>
    <w:p w:rsidR="00D7328B" w:rsidRDefault="00D7328B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ab/>
      </w:r>
    </w:p>
    <w:p w:rsidR="00457C65" w:rsidRDefault="00457C65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457C65" w:rsidRDefault="00457C65" w:rsidP="005B6348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</w:p>
    <w:p w:rsidR="00544360" w:rsidRDefault="00544360" w:rsidP="005B6348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</w:p>
    <w:p w:rsidR="00457C65" w:rsidRDefault="00457C65" w:rsidP="005B6348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dodatku č. </w:t>
      </w:r>
      <w:r w:rsidR="0082529B">
        <w:rPr>
          <w:rFonts w:ascii="Arial" w:hAnsi="Arial" w:cs="Arial"/>
          <w:b/>
        </w:rPr>
        <w:t>1</w:t>
      </w:r>
    </w:p>
    <w:p w:rsidR="00457C65" w:rsidRDefault="00457C65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457C65" w:rsidRPr="00D758FE" w:rsidRDefault="00457C65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18"/>
        </w:rPr>
      </w:pPr>
      <w:r w:rsidRPr="00D758FE">
        <w:rPr>
          <w:rFonts w:ascii="Arial" w:hAnsi="Arial" w:cs="Arial"/>
          <w:sz w:val="20"/>
          <w:szCs w:val="18"/>
        </w:rPr>
        <w:t>Tímto dodatkem se rozšiřují a upravují p</w:t>
      </w:r>
      <w:r w:rsidR="00544360" w:rsidRPr="00D758FE">
        <w:rPr>
          <w:rFonts w:ascii="Arial" w:hAnsi="Arial" w:cs="Arial"/>
          <w:sz w:val="20"/>
          <w:szCs w:val="18"/>
        </w:rPr>
        <w:t>říslušná ustanovení článku II.</w:t>
      </w:r>
      <w:r w:rsidR="000F4C0F" w:rsidRPr="00D758FE">
        <w:rPr>
          <w:rFonts w:ascii="Arial" w:hAnsi="Arial" w:cs="Arial"/>
          <w:sz w:val="20"/>
          <w:szCs w:val="18"/>
        </w:rPr>
        <w:t xml:space="preserve"> </w:t>
      </w:r>
      <w:r w:rsidRPr="00D758FE">
        <w:rPr>
          <w:rFonts w:ascii="Arial" w:hAnsi="Arial" w:cs="Arial"/>
          <w:sz w:val="20"/>
          <w:szCs w:val="18"/>
        </w:rPr>
        <w:t>Smlouvy o dílo ev. č. </w:t>
      </w:r>
      <w:r w:rsidR="00D758FE" w:rsidRPr="00D758FE">
        <w:rPr>
          <w:rFonts w:ascii="Arial" w:hAnsi="Arial" w:cs="Arial"/>
          <w:sz w:val="20"/>
          <w:szCs w:val="18"/>
        </w:rPr>
        <w:t>3008H1210012</w:t>
      </w:r>
      <w:r w:rsidR="000B3698" w:rsidRPr="00D758FE">
        <w:rPr>
          <w:rFonts w:ascii="Arial" w:hAnsi="Arial" w:cs="Arial"/>
          <w:sz w:val="20"/>
          <w:szCs w:val="18"/>
        </w:rPr>
        <w:t xml:space="preserve"> </w:t>
      </w:r>
      <w:r w:rsidRPr="00D758FE">
        <w:rPr>
          <w:rFonts w:ascii="Arial" w:hAnsi="Arial" w:cs="Arial"/>
          <w:sz w:val="20"/>
          <w:szCs w:val="18"/>
        </w:rPr>
        <w:t xml:space="preserve">ze dne </w:t>
      </w:r>
      <w:r w:rsidR="00D758FE" w:rsidRPr="00D758FE">
        <w:rPr>
          <w:rFonts w:ascii="Arial" w:hAnsi="Arial" w:cs="Arial"/>
          <w:sz w:val="20"/>
          <w:szCs w:val="18"/>
        </w:rPr>
        <w:t>18. 11. 2021</w:t>
      </w:r>
      <w:r w:rsidRPr="00D758FE">
        <w:rPr>
          <w:rFonts w:ascii="Arial" w:hAnsi="Arial" w:cs="Arial"/>
          <w:sz w:val="20"/>
          <w:szCs w:val="18"/>
        </w:rPr>
        <w:t xml:space="preserve"> takto:</w:t>
      </w:r>
    </w:p>
    <w:p w:rsidR="00457C65" w:rsidRDefault="00457C65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544360" w:rsidRDefault="00544360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D758FE" w:rsidRPr="00D758FE" w:rsidRDefault="00D758FE" w:rsidP="005B6348">
      <w:pPr>
        <w:widowControl/>
        <w:numPr>
          <w:ilvl w:val="0"/>
          <w:numId w:val="28"/>
        </w:numPr>
        <w:autoSpaceDE w:val="0"/>
        <w:autoSpaceDN/>
        <w:adjustRightInd w:val="0"/>
        <w:spacing w:after="200" w:line="276" w:lineRule="auto"/>
        <w:ind w:left="0" w:firstLine="0"/>
        <w:jc w:val="center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cs-CZ" w:bidi="ar-SA"/>
        </w:rPr>
      </w:pPr>
      <w:r w:rsidRPr="00D758FE">
        <w:rPr>
          <w:rFonts w:ascii="Calibri" w:eastAsia="Times New Roman" w:hAnsi="Calibri" w:cs="Arial"/>
          <w:b/>
          <w:bCs/>
          <w:kern w:val="0"/>
          <w:sz w:val="22"/>
          <w:szCs w:val="22"/>
          <w:lang w:eastAsia="cs-CZ" w:bidi="ar-SA"/>
        </w:rPr>
        <w:lastRenderedPageBreak/>
        <w:br/>
        <w:t xml:space="preserve">Předmět smlouvy </w:t>
      </w:r>
    </w:p>
    <w:p w:rsidR="00457C65" w:rsidRDefault="00457C65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B71388" w:rsidRDefault="00457C65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Předmět plnění se </w:t>
      </w:r>
      <w:r w:rsidR="00D758FE">
        <w:rPr>
          <w:rFonts w:ascii="Arial" w:hAnsi="Arial" w:cs="Arial"/>
          <w:sz w:val="18"/>
          <w:szCs w:val="18"/>
        </w:rPr>
        <w:t>rozšiřuje o činnost koordinátora BOZP vč. vypracování plánu BOZP.</w:t>
      </w: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Odst. 1 Článku se upravuje takto:</w:t>
      </w: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758FE" w:rsidRPr="00D758FE" w:rsidRDefault="00D758FE" w:rsidP="005B6348">
      <w:pPr>
        <w:widowControl/>
        <w:numPr>
          <w:ilvl w:val="0"/>
          <w:numId w:val="31"/>
        </w:numPr>
        <w:autoSpaceDE w:val="0"/>
        <w:autoSpaceDN/>
        <w:adjustRightInd w:val="0"/>
        <w:spacing w:after="200" w:line="276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cs-CZ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cs-CZ" w:bidi="ar-SA"/>
        </w:rPr>
        <w:t xml:space="preserve">Předmětem této smlouvy je úplatné obstarání níže specifikované záležitosti příkazce příkazníkem: </w:t>
      </w:r>
    </w:p>
    <w:p w:rsidR="00D758FE" w:rsidRPr="00D758FE" w:rsidRDefault="00D758FE" w:rsidP="005B6348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cs-CZ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cs-CZ" w:bidi="ar-SA"/>
        </w:rPr>
        <w:t xml:space="preserve">zajištění </w:t>
      </w:r>
      <w:r w:rsidRPr="00D758FE">
        <w:rPr>
          <w:rFonts w:ascii="Arial" w:eastAsia="Times New Roman" w:hAnsi="Arial" w:cs="Arial"/>
          <w:b/>
          <w:kern w:val="0"/>
          <w:sz w:val="18"/>
          <w:szCs w:val="22"/>
          <w:lang w:eastAsia="cs-CZ" w:bidi="ar-SA"/>
        </w:rPr>
        <w:t>technického dozoru stavebníka</w:t>
      </w:r>
      <w:r>
        <w:rPr>
          <w:rFonts w:ascii="Arial" w:eastAsia="Times New Roman" w:hAnsi="Arial" w:cs="Arial"/>
          <w:b/>
          <w:kern w:val="0"/>
          <w:sz w:val="18"/>
          <w:szCs w:val="22"/>
          <w:lang w:eastAsia="cs-CZ" w:bidi="ar-SA"/>
        </w:rPr>
        <w:t xml:space="preserve"> a koordinátora BOZP</w:t>
      </w:r>
      <w:r w:rsidRPr="00D758FE">
        <w:rPr>
          <w:rFonts w:ascii="Arial" w:eastAsia="Times New Roman" w:hAnsi="Arial" w:cs="Arial"/>
          <w:kern w:val="0"/>
          <w:sz w:val="18"/>
          <w:szCs w:val="22"/>
          <w:lang w:eastAsia="cs-CZ" w:bidi="ar-SA"/>
        </w:rPr>
        <w:t xml:space="preserve">, při realizaci stavby </w:t>
      </w:r>
      <w:r w:rsidRPr="00D758FE">
        <w:rPr>
          <w:rFonts w:ascii="Arial" w:eastAsia="Times New Roman" w:hAnsi="Arial" w:cs="Arial"/>
          <w:b/>
          <w:kern w:val="0"/>
          <w:sz w:val="18"/>
          <w:szCs w:val="22"/>
          <w:lang w:eastAsia="cs-CZ" w:bidi="ar-SA"/>
        </w:rPr>
        <w:t>„NPÚ, KP Komenského 106, Nové Hrady celková obnova“</w:t>
      </w:r>
      <w:r w:rsidRPr="00D758FE">
        <w:rPr>
          <w:rFonts w:ascii="Arial" w:eastAsia="Times New Roman" w:hAnsi="Arial" w:cs="Arial"/>
          <w:kern w:val="0"/>
          <w:sz w:val="18"/>
          <w:szCs w:val="22"/>
          <w:lang w:eastAsia="cs-CZ" w:bidi="ar-SA"/>
        </w:rPr>
        <w:t>. Příkazník zajistí činnosti dle této smlouvy po dobu přípravy stavby a po dobu vlastní realizace stavby, dále jen „záležitost“. Při obstarávání záležitosti jedná příkazník na účet příkazce. Veškerý užitek z toho získaný, náleží příkazci.</w:t>
      </w: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758FE">
        <w:rPr>
          <w:rFonts w:ascii="Arial" w:hAnsi="Arial" w:cs="Arial"/>
          <w:sz w:val="18"/>
          <w:szCs w:val="18"/>
        </w:rPr>
        <w:t xml:space="preserve">Odst. </w:t>
      </w:r>
      <w:r>
        <w:rPr>
          <w:rFonts w:ascii="Arial" w:hAnsi="Arial" w:cs="Arial"/>
          <w:sz w:val="18"/>
          <w:szCs w:val="18"/>
        </w:rPr>
        <w:t>4</w:t>
      </w:r>
      <w:r w:rsidRPr="00D75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Článku</w:t>
      </w:r>
      <w:r w:rsidRPr="00D758FE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>doplňuje o ustanovení</w:t>
      </w:r>
      <w:r w:rsidRPr="00D758FE">
        <w:rPr>
          <w:rFonts w:ascii="Arial" w:hAnsi="Arial" w:cs="Arial"/>
          <w:sz w:val="18"/>
          <w:szCs w:val="18"/>
        </w:rPr>
        <w:t>:</w:t>
      </w: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758FE" w:rsidRPr="00D758FE" w:rsidRDefault="00D758FE" w:rsidP="005B6348">
      <w:pPr>
        <w:widowControl/>
        <w:autoSpaceDN/>
        <w:spacing w:before="60" w:after="60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 xml:space="preserve">Příkazník se zavazuje zajistit </w:t>
      </w:r>
      <w:r w:rsidRPr="00D758FE">
        <w:rPr>
          <w:rFonts w:ascii="Arial" w:eastAsia="Times New Roman" w:hAnsi="Arial" w:cs="Arial"/>
          <w:b/>
          <w:kern w:val="0"/>
          <w:sz w:val="18"/>
          <w:szCs w:val="22"/>
          <w:lang w:eastAsia="ar-SA" w:bidi="ar-SA"/>
        </w:rPr>
        <w:t>činnosti koordinátora BOZP</w:t>
      </w: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 xml:space="preserve"> v následujícím rozsahu:</w:t>
      </w:r>
    </w:p>
    <w:p w:rsidR="00D758FE" w:rsidRPr="00D758FE" w:rsidRDefault="00D758FE" w:rsidP="005B6348">
      <w:pPr>
        <w:keepNext/>
        <w:widowControl/>
        <w:autoSpaceDN/>
        <w:jc w:val="both"/>
        <w:textAlignment w:val="auto"/>
        <w:outlineLvl w:val="5"/>
        <w:rPr>
          <w:rFonts w:ascii="Arial" w:eastAsia="Times New Roman" w:hAnsi="Arial" w:cs="Arial"/>
          <w:b/>
          <w:bCs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Cs/>
          <w:kern w:val="0"/>
          <w:sz w:val="18"/>
          <w:szCs w:val="22"/>
          <w:u w:val="single"/>
          <w:lang w:eastAsia="ar-SA" w:bidi="ar-SA"/>
        </w:rPr>
        <w:t>V přípravné fázi stavby zajišťuje koordinátor BOZP především tyto činnosti</w:t>
      </w:r>
      <w:r w:rsidRPr="00D758FE">
        <w:rPr>
          <w:rFonts w:ascii="Arial" w:eastAsia="Times New Roman" w:hAnsi="Arial" w:cs="Arial"/>
          <w:b/>
          <w:bCs/>
          <w:kern w:val="0"/>
          <w:sz w:val="18"/>
          <w:szCs w:val="22"/>
          <w:lang w:eastAsia="ar-SA" w:bidi="ar-SA"/>
        </w:rPr>
        <w:t>: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4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v dostatečném časovém předstihu před zadáním díla zhotoviteli stavby předá zadavateli stavby: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přehled právních předpisů vztahujících se ke stavbě,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informace o rizicích, která mohou při realizaci vzniknout,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4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bez zbytečného odkladu předá zhotoviteli stavby, popřípadě jiné osobě veškeré další informace o bezpečnostních a zdravotních rizicích, které jsou mu známy a které se dotýkají jejich činnosti,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4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dává podněty a doporučuje ekonomicky přiměřená technická řešení nebo organizační opatření, která jsou z hlediska zajištění bezpečného a zdraví neohrožujícího pracovního prostředí a podmínek výkonu práce vhodná pro plánování jednotlivých prací, zejména těch, které se uskutečňují současně nebo v návaznosti,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4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poskytuje odborné konzultace a doporučení týkající se požadavků na zajištění bezpečné a zdraví neohrožující práce,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4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odhaduje délky času potřebného pro provedení plánovaných prací nebo činností se zřetelem na specifická opatření, pracovní nebo technologické postupy a procesy a potřebnou organizaci prací v průběhu realizace stavby,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4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zpracovává Plán BOZP a zabezpečuje, aby plán BOZP obsahoval, přiměřeně povaze a rozsahu stavby a místním a provozním podmínkám staveniště, údaje, informace a postupy zpracované v podrobnostech nezbytných pro zajištění bezpečné a zdraví neohrožující práce, a aby byl odsouhlasen a podepsán všemi zhotoviteli, pokud jsou v době zpracování plánu známi.</w:t>
      </w:r>
    </w:p>
    <w:p w:rsidR="00D758FE" w:rsidRPr="00D758FE" w:rsidRDefault="00D758FE" w:rsidP="005B6348">
      <w:pPr>
        <w:widowControl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</w:p>
    <w:p w:rsidR="00D758FE" w:rsidRPr="00D758FE" w:rsidRDefault="00D758FE" w:rsidP="005B6348">
      <w:pPr>
        <w:widowControl/>
        <w:tabs>
          <w:tab w:val="left" w:pos="709"/>
        </w:tabs>
        <w:autoSpaceDN/>
        <w:spacing w:before="120" w:after="120"/>
        <w:textAlignment w:val="auto"/>
        <w:outlineLvl w:val="5"/>
        <w:rPr>
          <w:rFonts w:ascii="Arial" w:eastAsia="Times New Roman" w:hAnsi="Arial" w:cs="Arial"/>
          <w:b/>
          <w:bCs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bCs/>
          <w:kern w:val="0"/>
          <w:sz w:val="18"/>
          <w:szCs w:val="22"/>
          <w:u w:val="single"/>
          <w:lang w:eastAsia="ar-SA" w:bidi="ar-SA"/>
        </w:rPr>
        <w:t>Při realizační fázi koordinátor BOZP zajišťuje zejména tyto činnosti</w:t>
      </w:r>
      <w:r w:rsidRPr="00D758FE">
        <w:rPr>
          <w:rFonts w:ascii="Arial" w:eastAsia="Times New Roman" w:hAnsi="Arial" w:cs="Arial"/>
          <w:b/>
          <w:bCs/>
          <w:kern w:val="0"/>
          <w:sz w:val="18"/>
          <w:szCs w:val="22"/>
          <w:lang w:eastAsia="ar-SA" w:bidi="ar-SA"/>
        </w:rPr>
        <w:t>: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aktualizace plánu BOZP v souvislosti s příchodem nových dodavatelů, se změnami organizace výstavby, použitím nových technologií, použití technologií a pracovních postupů, harmonogramu stavebních prací,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koordinace spolupráce zhotovitelů nebo osob jimi pověřených při přijímání opatření k zajištění bezpečnosti a ochrany zdraví při práci se zřetelem na povahu stavby a na všeobecné zásady prevence rizik a činností prováděné na staveništi současně případně v těsné návaznosti, s cílem chránit zdraví osob, zabraňovat pracovním úrazům a předcházet vzniku nemocí z povolání,</w:t>
      </w:r>
    </w:p>
    <w:p w:rsidR="00D758FE" w:rsidRPr="00D758FE" w:rsidRDefault="00D758FE" w:rsidP="005B6348">
      <w:pPr>
        <w:widowControl/>
        <w:numPr>
          <w:ilvl w:val="0"/>
          <w:numId w:val="29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vyjadřuje se k jednotlivým technologickým, pracovním postupům jednotlivých zhotovitelů z hlediska naplnění požadavků na zajištění BOZP při provádění daných prací,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dává podněty a na vyžádání zhotovitele doporučuje technická řešení nebo opatření k zajištění bezpečnosti a ochrany zdraví při práci pro stanovení pracovních nebo technologických postupů a plánování bezpečného provádění prací, které se s ohledem na věcné a časové vazby při realizaci stavby uskuteční současně nebo na sebe budou bezprostředně navazovat,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spolupracuje při stanovení času potřebného k bezpečnému provádění jednotlivých prací,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sleduje provádění prací na staveništi a kontroluje, zda jsou dodržovány požadavky na bezpečnost a ochranu zdraví,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upozorňuje zhotovitele na nedostatky v uplatňování požadavků na bezpečnost a ochranu zdraví při práci zjištěné na pracovišti převzatém zhotovitelem stavby a vyžaduje bez zbytečného odkladu zjednání nápravy, oznamuje zadavateli stavby případy podle předchozího bodu, nebyla-li přijata opatření ke zjednání nápravy,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provádí záznamy o zjištěných nedostatcích v oblasti BOZP na staveništi, na něž prokazatelně upozornil zhotovitele, a dále zapisuje údaje o tom, zda a jakým způsobem byly tyto nedostatky odstraněny,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kontroluje zabezpečení obvodu staveniště, včetně vstupu a vjezdu na staveniště s cílem zamezit vstup nepovolaným fyzickým osobám,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bez zbytečného prodlení informuje zhotovitele stavby o bezpečnostních a zdravotních rizicích, která vnikla na staveništi během postupu prací,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dává podněty a doporučuje technická řešení nebo opatření k zajištění bezpečnosti a ochrany zdraví při práci pro stanovení pracovních a technologických postupů,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lastRenderedPageBreak/>
        <w:t>zúčastňuje se kontrolních prohlídky stavby, k níž bude přizván stavebním úřadem,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navrhuje termíny kontrolních dnů k dodržení plánu BOZP za účasti zhotovitelů a organizuje jejich konání,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sleduje, zda zhotovitelé dodržují plán BOZP a projednává s nimi opatření a termíny k nápravě zjištěných nedostatků,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účastní se porad vedení stavby, pokud si to vyžádá stavbyvedoucí, a provádí nenahlášenou kontrolu staveniště min. 2x do měsíce, zda jsou plněny požadavky BOZP,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neprodleně inform</w:t>
      </w:r>
      <w:r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uje</w:t>
      </w: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 xml:space="preserve"> příkazce o všech skutečnostech, které při plnění příkazu zjistil, a které by mohly ovlivnit pokyny příkazce,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postup</w:t>
      </w:r>
      <w:r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uje</w:t>
      </w: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 xml:space="preserve"> s odbornou péčí a nestranně,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pln</w:t>
      </w:r>
      <w:r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í</w:t>
      </w: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 xml:space="preserve"> všechny povinnosti uložené mu zákonem č. 309/2006 Sb., a prováděcím právním předpisem, kterým je nařízení vlády č. 591/2006 Sb., o bližších minimálních požadavcích na bezpečnost a ochranu zdraví při práci na staveništích,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příkazník odpovídá příkazci za škodu způsobenou neodborným nebo nedbalým výkonem funkce osoby odborně způsobilé,</w:t>
      </w:r>
    </w:p>
    <w:p w:rsidR="00D758FE" w:rsidRPr="00D758FE" w:rsidRDefault="00D758FE" w:rsidP="005B6348">
      <w:pPr>
        <w:widowControl/>
        <w:numPr>
          <w:ilvl w:val="0"/>
          <w:numId w:val="30"/>
        </w:numPr>
        <w:autoSpaceDN/>
        <w:ind w:left="709" w:hanging="283"/>
        <w:jc w:val="both"/>
        <w:textAlignment w:val="auto"/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</w:pPr>
      <w:r w:rsidRPr="00D758FE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vykoná funkci osoby odborně způsobilé poctivě, pečlivě s řádnou odbornou péčí a v souladu s platnou právní úpravou.</w:t>
      </w:r>
    </w:p>
    <w:p w:rsidR="00D758FE" w:rsidRDefault="00D758FE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41853" w:rsidRDefault="00B41853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0F4C0F" w:rsidRDefault="000F4C0F" w:rsidP="005B6348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Arial" w:hAnsi="Arial" w:cs="Arial"/>
          <w:b/>
          <w:bCs/>
          <w:sz w:val="18"/>
          <w:szCs w:val="18"/>
        </w:rPr>
      </w:pPr>
    </w:p>
    <w:p w:rsidR="00B40634" w:rsidRDefault="00B40634" w:rsidP="005B6348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Arial" w:hAnsi="Arial" w:cs="Arial"/>
          <w:b/>
          <w:bCs/>
          <w:sz w:val="18"/>
          <w:szCs w:val="18"/>
        </w:rPr>
      </w:pPr>
    </w:p>
    <w:p w:rsidR="00B40634" w:rsidRPr="00B40634" w:rsidRDefault="00B40634" w:rsidP="005B6348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 w:rsidRPr="00B40634">
        <w:rPr>
          <w:rFonts w:ascii="Arial" w:hAnsi="Arial" w:cs="Arial"/>
          <w:b/>
        </w:rPr>
        <w:t>Ustanovení přechodná a závěrečná</w:t>
      </w:r>
    </w:p>
    <w:p w:rsidR="00B40634" w:rsidRPr="00FC0E46" w:rsidRDefault="00B40634" w:rsidP="005B6348">
      <w:pPr>
        <w:rPr>
          <w:sz w:val="20"/>
          <w:szCs w:val="20"/>
        </w:rPr>
      </w:pPr>
    </w:p>
    <w:p w:rsidR="00B40634" w:rsidRDefault="00B40634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544360">
        <w:rPr>
          <w:rFonts w:ascii="Arial" w:eastAsia="Times New Roman" w:hAnsi="Arial" w:cs="Arial"/>
          <w:sz w:val="20"/>
          <w:szCs w:val="18"/>
          <w:lang w:bidi="ar-SA"/>
        </w:rPr>
        <w:t>Ostatní ustanovení smlouvy</w:t>
      </w:r>
      <w:r w:rsidR="005B6348">
        <w:rPr>
          <w:rFonts w:ascii="Arial" w:eastAsia="Times New Roman" w:hAnsi="Arial" w:cs="Arial"/>
          <w:sz w:val="20"/>
          <w:szCs w:val="18"/>
          <w:lang w:bidi="ar-SA"/>
        </w:rPr>
        <w:t>, jakožto i cena,</w:t>
      </w:r>
      <w:r w:rsidRPr="00544360">
        <w:rPr>
          <w:rFonts w:ascii="Arial" w:eastAsia="Times New Roman" w:hAnsi="Arial" w:cs="Arial"/>
          <w:sz w:val="20"/>
          <w:szCs w:val="18"/>
          <w:lang w:bidi="ar-SA"/>
        </w:rPr>
        <w:t xml:space="preserve"> zůstávají v platnosti.</w:t>
      </w:r>
    </w:p>
    <w:p w:rsidR="00544360" w:rsidRDefault="00544360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</w:p>
    <w:p w:rsidR="004A32E8" w:rsidRDefault="00544360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544360">
        <w:rPr>
          <w:rFonts w:ascii="Arial" w:eastAsia="Times New Roman" w:hAnsi="Arial" w:cs="Arial"/>
          <w:sz w:val="20"/>
          <w:szCs w:val="18"/>
          <w:lang w:bidi="ar-SA"/>
        </w:rPr>
        <w:t>Smluvní strany berou na vědomí, že t</w:t>
      </w:r>
      <w:r>
        <w:rPr>
          <w:rFonts w:ascii="Arial" w:eastAsia="Times New Roman" w:hAnsi="Arial" w:cs="Arial"/>
          <w:sz w:val="20"/>
          <w:szCs w:val="18"/>
          <w:lang w:bidi="ar-SA"/>
        </w:rPr>
        <w:t>ento dodatek</w:t>
      </w:r>
      <w:r w:rsidRPr="00544360">
        <w:rPr>
          <w:rFonts w:ascii="Arial" w:eastAsia="Times New Roman" w:hAnsi="Arial" w:cs="Arial"/>
          <w:sz w:val="20"/>
          <w:szCs w:val="18"/>
          <w:lang w:bidi="ar-SA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předpisů. Uveřejnění v registru zajistí </w:t>
      </w:r>
      <w:r w:rsidR="005B6348">
        <w:rPr>
          <w:rFonts w:ascii="Arial" w:eastAsia="Times New Roman" w:hAnsi="Arial" w:cs="Arial"/>
          <w:sz w:val="20"/>
          <w:szCs w:val="18"/>
          <w:lang w:bidi="ar-SA"/>
        </w:rPr>
        <w:t>příkazce</w:t>
      </w:r>
      <w:r w:rsidRPr="00544360">
        <w:rPr>
          <w:rFonts w:ascii="Arial" w:eastAsia="Times New Roman" w:hAnsi="Arial" w:cs="Arial"/>
          <w:sz w:val="20"/>
          <w:szCs w:val="18"/>
          <w:lang w:bidi="ar-SA"/>
        </w:rPr>
        <w:t>.</w:t>
      </w:r>
      <w:r w:rsidR="004A32E8">
        <w:rPr>
          <w:rFonts w:ascii="Arial" w:eastAsia="Times New Roman" w:hAnsi="Arial" w:cs="Arial"/>
          <w:sz w:val="20"/>
          <w:szCs w:val="18"/>
          <w:lang w:bidi="ar-SA"/>
        </w:rPr>
        <w:t xml:space="preserve"> </w:t>
      </w:r>
    </w:p>
    <w:p w:rsidR="00544360" w:rsidRDefault="005B6348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>
        <w:rPr>
          <w:rFonts w:ascii="Arial" w:eastAsia="Times New Roman" w:hAnsi="Arial" w:cs="Arial"/>
          <w:sz w:val="20"/>
          <w:szCs w:val="18"/>
          <w:lang w:bidi="ar-SA"/>
        </w:rPr>
        <w:t>Příkazník</w:t>
      </w:r>
      <w:r w:rsidR="004A32E8" w:rsidRPr="004A32E8">
        <w:rPr>
          <w:rFonts w:ascii="Arial" w:eastAsia="Times New Roman" w:hAnsi="Arial" w:cs="Arial"/>
          <w:sz w:val="20"/>
          <w:szCs w:val="18"/>
          <w:lang w:bidi="ar-SA"/>
        </w:rPr>
        <w:t xml:space="preserve"> souhlasí se zveřejněním obsahu dodatků a smlouvy, zejména své identifikace a ceny.</w:t>
      </w:r>
    </w:p>
    <w:p w:rsidR="00544360" w:rsidRDefault="00544360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544360">
        <w:rPr>
          <w:rFonts w:ascii="Arial" w:eastAsia="Times New Roman" w:hAnsi="Arial" w:cs="Arial"/>
          <w:sz w:val="20"/>
          <w:szCs w:val="18"/>
          <w:lang w:bidi="ar-SA"/>
        </w:rPr>
        <w:t xml:space="preserve">Smluvní strany berou na vědomí, že </w:t>
      </w:r>
      <w:r w:rsidR="004A32E8">
        <w:rPr>
          <w:rFonts w:ascii="Arial" w:eastAsia="Times New Roman" w:hAnsi="Arial" w:cs="Arial"/>
          <w:sz w:val="20"/>
          <w:szCs w:val="18"/>
          <w:lang w:bidi="ar-SA"/>
        </w:rPr>
        <w:t>tento dodatek</w:t>
      </w:r>
      <w:r w:rsidRPr="00544360">
        <w:rPr>
          <w:rFonts w:ascii="Arial" w:eastAsia="Times New Roman" w:hAnsi="Arial" w:cs="Arial"/>
          <w:sz w:val="20"/>
          <w:szCs w:val="18"/>
          <w:lang w:bidi="ar-SA"/>
        </w:rPr>
        <w:t xml:space="preserve"> může být předmětem zveřejnění dle platných a účinných právních předpisů. 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E05D9" w:rsidRDefault="009E05D9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</w:p>
    <w:p w:rsidR="009E05D9" w:rsidRDefault="009E05D9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9E05D9">
        <w:rPr>
          <w:rFonts w:ascii="Arial" w:eastAsia="Times New Roman" w:hAnsi="Arial" w:cs="Arial"/>
          <w:sz w:val="20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:rsidR="00544360" w:rsidRDefault="00544360" w:rsidP="005B6348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</w:p>
    <w:p w:rsidR="004A32E8" w:rsidRDefault="00B40634" w:rsidP="005B6348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  <w:r w:rsidRPr="00FC0E46">
        <w:rPr>
          <w:rFonts w:ascii="Arial" w:hAnsi="Arial" w:cs="Arial"/>
          <w:sz w:val="20"/>
          <w:szCs w:val="20"/>
        </w:rPr>
        <w:t xml:space="preserve">Tento dodatek nabývá </w:t>
      </w:r>
      <w:r w:rsidR="004A32E8" w:rsidRPr="004A32E8">
        <w:rPr>
          <w:rFonts w:ascii="Arial" w:hAnsi="Arial" w:cs="Arial"/>
          <w:sz w:val="20"/>
          <w:szCs w:val="20"/>
        </w:rPr>
        <w:t xml:space="preserve">platnosti </w:t>
      </w:r>
      <w:r w:rsidR="00F229D0">
        <w:rPr>
          <w:rFonts w:ascii="Arial" w:hAnsi="Arial" w:cs="Arial"/>
          <w:sz w:val="20"/>
          <w:szCs w:val="20"/>
        </w:rPr>
        <w:t xml:space="preserve">dnem podpisu oběma stranami a účinnosti dnem zveřejnění v Registru smluv. </w:t>
      </w:r>
    </w:p>
    <w:p w:rsidR="004A32E8" w:rsidRDefault="004A32E8" w:rsidP="005B6348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</w:p>
    <w:p w:rsidR="00B40634" w:rsidRDefault="00B40634" w:rsidP="005B6348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  <w:r w:rsidRPr="00FC0E46">
        <w:rPr>
          <w:rFonts w:ascii="Arial" w:hAnsi="Arial" w:cs="Arial"/>
          <w:sz w:val="20"/>
          <w:szCs w:val="20"/>
        </w:rPr>
        <w:t xml:space="preserve">Dodatek byl sepsán ve </w:t>
      </w:r>
      <w:r w:rsidR="00F229D0">
        <w:rPr>
          <w:rFonts w:ascii="Arial" w:hAnsi="Arial" w:cs="Arial"/>
          <w:sz w:val="20"/>
          <w:szCs w:val="20"/>
        </w:rPr>
        <w:t>dvou vyhotoveních</w:t>
      </w:r>
      <w:r>
        <w:rPr>
          <w:rFonts w:ascii="Arial" w:hAnsi="Arial" w:cs="Arial"/>
          <w:sz w:val="20"/>
          <w:szCs w:val="20"/>
        </w:rPr>
        <w:t xml:space="preserve">, </w:t>
      </w:r>
      <w:r w:rsidR="00F229D0">
        <w:rPr>
          <w:rFonts w:ascii="Arial" w:hAnsi="Arial" w:cs="Arial"/>
          <w:sz w:val="20"/>
          <w:szCs w:val="20"/>
        </w:rPr>
        <w:t>každá strana obdrží po jednom exempláři</w:t>
      </w:r>
    </w:p>
    <w:p w:rsidR="004A32E8" w:rsidRDefault="004A32E8" w:rsidP="005B6348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</w:p>
    <w:p w:rsidR="00301D17" w:rsidRDefault="00301D17" w:rsidP="005B6348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</w:p>
    <w:p w:rsidR="00B71388" w:rsidRDefault="00B71388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229D0" w:rsidRPr="00F229D0" w:rsidTr="00B216E2">
        <w:trPr>
          <w:jc w:val="center"/>
        </w:trPr>
        <w:tc>
          <w:tcPr>
            <w:tcW w:w="4606" w:type="dxa"/>
          </w:tcPr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  <w:r w:rsidRPr="00F229D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 xml:space="preserve">V Českých Budějovicích, dne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2</w:t>
            </w:r>
            <w:r w:rsidR="005B6348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3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 xml:space="preserve">. </w:t>
            </w:r>
            <w:r w:rsidR="005B6348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11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. 2021</w:t>
            </w: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  <w:r w:rsidRPr="00F229D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…………………………………………..</w:t>
            </w: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  <w:r w:rsidRPr="00F229D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Mgr. Petr Pavelec, Ph.D.</w:t>
            </w: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  <w:r w:rsidRPr="00F229D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ředitel</w:t>
            </w:r>
          </w:p>
        </w:tc>
        <w:tc>
          <w:tcPr>
            <w:tcW w:w="4606" w:type="dxa"/>
          </w:tcPr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  <w:r w:rsidRPr="00F229D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…………………………………………..</w:t>
            </w:r>
          </w:p>
          <w:p w:rsidR="00F229D0" w:rsidRPr="00F229D0" w:rsidRDefault="005B6348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highlight w:val="yellow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  <w:t>Ing. Karel Mikeš</w:t>
            </w:r>
            <w:bookmarkStart w:id="0" w:name="_GoBack"/>
            <w:bookmarkEnd w:id="0"/>
          </w:p>
          <w:p w:rsidR="00F229D0" w:rsidRPr="00F229D0" w:rsidRDefault="00F229D0" w:rsidP="005B6348">
            <w:pPr>
              <w:autoSpaceDN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:rsidR="00B71388" w:rsidRDefault="00B71388" w:rsidP="005B634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sz w:val="18"/>
          <w:szCs w:val="18"/>
        </w:rPr>
      </w:pPr>
    </w:p>
    <w:sectPr w:rsidR="00B71388" w:rsidSect="00F229D0">
      <w:footerReference w:type="default" r:id="rId9"/>
      <w:headerReference w:type="first" r:id="rId10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47" w:rsidRDefault="00361B47">
      <w:r>
        <w:separator/>
      </w:r>
    </w:p>
  </w:endnote>
  <w:endnote w:type="continuationSeparator" w:id="0">
    <w:p w:rsidR="00361B47" w:rsidRDefault="0036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738B7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738B7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47" w:rsidRDefault="00361B47">
      <w:r>
        <w:rPr>
          <w:color w:val="000000"/>
        </w:rPr>
        <w:separator/>
      </w:r>
    </w:p>
  </w:footnote>
  <w:footnote w:type="continuationSeparator" w:id="0">
    <w:p w:rsidR="00361B47" w:rsidRDefault="0036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D0" w:rsidRDefault="00F229D0" w:rsidP="00F229D0">
    <w:pPr>
      <w:pStyle w:val="Textbody"/>
      <w:jc w:val="right"/>
      <w:rPr>
        <w:rFonts w:ascii="Arial" w:hAnsi="Arial" w:cs="Arial"/>
        <w:sz w:val="18"/>
        <w:szCs w:val="18"/>
      </w:rPr>
    </w:pPr>
    <w:r w:rsidRPr="007A06C6">
      <w:rPr>
        <w:rFonts w:ascii="Arial" w:hAnsi="Arial" w:cs="Arial"/>
        <w:sz w:val="18"/>
        <w:szCs w:val="18"/>
      </w:rPr>
      <w:t>Č. j. NPU-</w:t>
    </w:r>
    <w:r w:rsidRPr="000B3698">
      <w:rPr>
        <w:rFonts w:ascii="Arial" w:hAnsi="Arial" w:cs="Arial"/>
        <w:sz w:val="18"/>
        <w:szCs w:val="18"/>
      </w:rPr>
      <w:t>430/</w:t>
    </w:r>
    <w:r w:rsidR="00D758FE">
      <w:rPr>
        <w:rFonts w:ascii="Arial" w:hAnsi="Arial" w:cs="Arial"/>
        <w:sz w:val="18"/>
        <w:szCs w:val="18"/>
      </w:rPr>
      <w:t>95953</w:t>
    </w:r>
    <w:r w:rsidRPr="000B3698">
      <w:rPr>
        <w:rFonts w:ascii="Arial" w:hAnsi="Arial" w:cs="Arial"/>
        <w:sz w:val="18"/>
        <w:szCs w:val="18"/>
      </w:rPr>
      <w:t>/2021</w:t>
    </w:r>
  </w:p>
  <w:p w:rsidR="00F229D0" w:rsidRDefault="00F229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4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>
    <w:nsid w:val="25224952"/>
    <w:multiLevelType w:val="multilevel"/>
    <w:tmpl w:val="07CEA2DC"/>
    <w:lvl w:ilvl="0">
      <w:start w:val="1"/>
      <w:numFmt w:val="upperRoman"/>
      <w:suff w:val="nothing"/>
      <w:lvlText w:val="Článek 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28" w:hanging="4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2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3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5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7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19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3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5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6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7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29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0">
    <w:nsid w:val="7F203115"/>
    <w:multiLevelType w:val="hybridMultilevel"/>
    <w:tmpl w:val="7AC6A0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5"/>
  </w:num>
  <w:num w:numId="5">
    <w:abstractNumId w:val="21"/>
  </w:num>
  <w:num w:numId="6">
    <w:abstractNumId w:val="28"/>
  </w:num>
  <w:num w:numId="7">
    <w:abstractNumId w:val="26"/>
  </w:num>
  <w:num w:numId="8">
    <w:abstractNumId w:val="5"/>
  </w:num>
  <w:num w:numId="9">
    <w:abstractNumId w:val="8"/>
  </w:num>
  <w:num w:numId="10">
    <w:abstractNumId w:val="22"/>
  </w:num>
  <w:num w:numId="11">
    <w:abstractNumId w:val="11"/>
  </w:num>
  <w:num w:numId="12">
    <w:abstractNumId w:val="15"/>
  </w:num>
  <w:num w:numId="13">
    <w:abstractNumId w:val="14"/>
  </w:num>
  <w:num w:numId="14">
    <w:abstractNumId w:val="17"/>
  </w:num>
  <w:num w:numId="15">
    <w:abstractNumId w:val="1"/>
  </w:num>
  <w:num w:numId="16">
    <w:abstractNumId w:val="24"/>
  </w:num>
  <w:num w:numId="17">
    <w:abstractNumId w:val="12"/>
  </w:num>
  <w:num w:numId="18">
    <w:abstractNumId w:val="19"/>
  </w:num>
  <w:num w:numId="19">
    <w:abstractNumId w:val="6"/>
  </w:num>
  <w:num w:numId="20">
    <w:abstractNumId w:val="13"/>
  </w:num>
  <w:num w:numId="21">
    <w:abstractNumId w:val="0"/>
  </w:num>
  <w:num w:numId="22">
    <w:abstractNumId w:val="20"/>
  </w:num>
  <w:num w:numId="23">
    <w:abstractNumId w:val="7"/>
  </w:num>
  <w:num w:numId="24">
    <w:abstractNumId w:val="27"/>
  </w:num>
  <w:num w:numId="25">
    <w:abstractNumId w:val="2"/>
  </w:num>
  <w:num w:numId="26">
    <w:abstractNumId w:val="16"/>
  </w:num>
  <w:num w:numId="27">
    <w:abstractNumId w:val="29"/>
  </w:num>
  <w:num w:numId="28">
    <w:abstractNumId w:val="10"/>
  </w:num>
  <w:num w:numId="29">
    <w:abstractNumId w:val="4"/>
  </w:num>
  <w:num w:numId="30">
    <w:abstractNumId w:val="2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8"/>
    <w:rsid w:val="000477F8"/>
    <w:rsid w:val="000738B7"/>
    <w:rsid w:val="00073AA7"/>
    <w:rsid w:val="000B3698"/>
    <w:rsid w:val="000D3BAC"/>
    <w:rsid w:val="000F4640"/>
    <w:rsid w:val="000F4C0F"/>
    <w:rsid w:val="001111A3"/>
    <w:rsid w:val="00131DA1"/>
    <w:rsid w:val="00187FBB"/>
    <w:rsid w:val="001A5765"/>
    <w:rsid w:val="00200083"/>
    <w:rsid w:val="00292364"/>
    <w:rsid w:val="002C500C"/>
    <w:rsid w:val="002C753F"/>
    <w:rsid w:val="00301D17"/>
    <w:rsid w:val="00311D08"/>
    <w:rsid w:val="003545AC"/>
    <w:rsid w:val="00361B47"/>
    <w:rsid w:val="003A0132"/>
    <w:rsid w:val="003D0748"/>
    <w:rsid w:val="003E229D"/>
    <w:rsid w:val="00457C65"/>
    <w:rsid w:val="004A32E8"/>
    <w:rsid w:val="004B6569"/>
    <w:rsid w:val="00503EB1"/>
    <w:rsid w:val="0054263D"/>
    <w:rsid w:val="00544360"/>
    <w:rsid w:val="00585418"/>
    <w:rsid w:val="005B6348"/>
    <w:rsid w:val="005D080F"/>
    <w:rsid w:val="00653F4D"/>
    <w:rsid w:val="006B4AB2"/>
    <w:rsid w:val="007A06C6"/>
    <w:rsid w:val="007B14E8"/>
    <w:rsid w:val="007E633B"/>
    <w:rsid w:val="007F1E0F"/>
    <w:rsid w:val="008079A5"/>
    <w:rsid w:val="0082529B"/>
    <w:rsid w:val="00861F00"/>
    <w:rsid w:val="008A639D"/>
    <w:rsid w:val="009017AC"/>
    <w:rsid w:val="009A6CF8"/>
    <w:rsid w:val="009E05D9"/>
    <w:rsid w:val="00A359FF"/>
    <w:rsid w:val="00AB256E"/>
    <w:rsid w:val="00AC5634"/>
    <w:rsid w:val="00B32995"/>
    <w:rsid w:val="00B40634"/>
    <w:rsid w:val="00B41853"/>
    <w:rsid w:val="00B71388"/>
    <w:rsid w:val="00BA2640"/>
    <w:rsid w:val="00BC1AC6"/>
    <w:rsid w:val="00BD4D8A"/>
    <w:rsid w:val="00BE29CC"/>
    <w:rsid w:val="00D14401"/>
    <w:rsid w:val="00D20CE9"/>
    <w:rsid w:val="00D31952"/>
    <w:rsid w:val="00D7328B"/>
    <w:rsid w:val="00D758FE"/>
    <w:rsid w:val="00DD1FD1"/>
    <w:rsid w:val="00DE7D44"/>
    <w:rsid w:val="00E12ECD"/>
    <w:rsid w:val="00EC3771"/>
    <w:rsid w:val="00F229D0"/>
    <w:rsid w:val="00F5737C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customStyle="1" w:styleId="Default">
    <w:name w:val="Default"/>
    <w:rsid w:val="005D080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9D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9D0"/>
    <w:rPr>
      <w:rFonts w:ascii="Segoe UI" w:hAnsi="Segoe UI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customStyle="1" w:styleId="Default">
    <w:name w:val="Default"/>
    <w:rsid w:val="005D080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9D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9D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AB90-226B-42DF-B4DF-EFCD95A4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3</cp:revision>
  <cp:lastPrinted>2021-11-22T16:41:00Z</cp:lastPrinted>
  <dcterms:created xsi:type="dcterms:W3CDTF">2021-11-30T09:47:00Z</dcterms:created>
  <dcterms:modified xsi:type="dcterms:W3CDTF">2021-11-30T10:09:00Z</dcterms:modified>
</cp:coreProperties>
</file>