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Calibri" w:cstheme="minorHAnsi"/>
          <w:b/>
          <w:b/>
          <w:sz w:val="28"/>
        </w:rPr>
      </w:pPr>
      <w:r>
        <w:rPr>
          <w:rFonts w:cs="Calibri" w:cstheme="minorHAnsi"/>
          <w:b/>
          <w:sz w:val="28"/>
        </w:rPr>
        <w:t>Smlouva o poskytování služeb pověřence pro ochranu osobních údajů</w:t>
      </w:r>
    </w:p>
    <w:p>
      <w:pPr>
        <w:pStyle w:val="Normal"/>
        <w:jc w:val="center"/>
        <w:rPr>
          <w:rFonts w:cs="Calibri" w:cstheme="minorHAnsi"/>
          <w:b/>
          <w:b/>
          <w:sz w:val="28"/>
        </w:rPr>
      </w:pPr>
      <w:r>
        <w:rPr>
          <w:rFonts w:cs="Calibri" w:cstheme="minorHAnsi"/>
          <w:b/>
          <w:sz w:val="28"/>
        </w:rPr>
        <w:t>„</w:t>
      </w:r>
      <w:r>
        <w:rPr>
          <w:rFonts w:cs="Calibri" w:cstheme="minorHAnsi"/>
          <w:b/>
          <w:sz w:val="28"/>
        </w:rPr>
        <w:t>Externí pověřenec s garancí“</w:t>
      </w:r>
    </w:p>
    <w:p>
      <w:pPr>
        <w:pStyle w:val="Normal"/>
        <w:jc w:val="center"/>
        <w:rPr>
          <w:rFonts w:cs="Calibri" w:cstheme="minorHAnsi"/>
          <w:b/>
          <w:b/>
        </w:rPr>
      </w:pPr>
      <w:r>
        <w:rPr>
          <w:rFonts w:cs="Calibri" w:cstheme="minorHAnsi"/>
          <w:b/>
        </w:rPr>
      </w:r>
    </w:p>
    <w:p>
      <w:pPr>
        <w:pStyle w:val="Normal"/>
        <w:rPr>
          <w:rStyle w:val="A2"/>
          <w:rFonts w:cs="Calibri" w:cstheme="minorHAnsi"/>
          <w:b/>
          <w:b/>
          <w:color w:val="auto"/>
          <w:sz w:val="22"/>
          <w:szCs w:val="22"/>
        </w:rPr>
      </w:pPr>
      <w:r>
        <w:rPr>
          <w:rStyle w:val="A2"/>
          <w:rFonts w:cs="Calibri" w:cstheme="minorHAnsi"/>
          <w:b/>
          <w:color w:val="auto"/>
          <w:sz w:val="22"/>
          <w:szCs w:val="22"/>
        </w:rPr>
        <w:t>Gepard services s.r.o.</w:t>
      </w:r>
    </w:p>
    <w:p>
      <w:pPr>
        <w:pStyle w:val="Normal"/>
        <w:rPr>
          <w:rStyle w:val="A2"/>
          <w:rFonts w:cs="Calibri" w:cstheme="minorHAnsi"/>
          <w:color w:val="auto"/>
          <w:sz w:val="22"/>
          <w:szCs w:val="22"/>
        </w:rPr>
      </w:pPr>
      <w:r>
        <w:rPr>
          <w:rStyle w:val="A2"/>
          <w:rFonts w:cs="Calibri" w:cstheme="minorHAnsi"/>
          <w:color w:val="auto"/>
          <w:sz w:val="22"/>
          <w:szCs w:val="22"/>
        </w:rPr>
        <w:t xml:space="preserve">se sídlem </w:t>
      </w:r>
    </w:p>
    <w:p>
      <w:pPr>
        <w:pStyle w:val="Normal"/>
        <w:rPr>
          <w:rStyle w:val="A2"/>
          <w:rFonts w:cs="Calibri" w:cstheme="minorHAnsi"/>
          <w:color w:val="auto"/>
          <w:sz w:val="22"/>
          <w:szCs w:val="22"/>
        </w:rPr>
      </w:pPr>
      <w:r>
        <w:rPr>
          <w:rStyle w:val="A2"/>
          <w:rFonts w:cs="Calibri" w:cstheme="minorHAnsi"/>
          <w:color w:val="auto"/>
          <w:sz w:val="22"/>
          <w:szCs w:val="22"/>
        </w:rPr>
        <w:t xml:space="preserve">Jaurisova 515/4, 140 00 Praha 4 – Michle, </w:t>
      </w:r>
    </w:p>
    <w:p>
      <w:pPr>
        <w:pStyle w:val="Normal"/>
        <w:rPr>
          <w:rStyle w:val="A2"/>
          <w:rFonts w:cs="Calibri" w:cstheme="minorHAnsi"/>
          <w:color w:val="auto"/>
          <w:sz w:val="22"/>
          <w:szCs w:val="22"/>
        </w:rPr>
      </w:pPr>
      <w:r>
        <w:rPr>
          <w:rStyle w:val="A2"/>
          <w:rFonts w:cs="Calibri" w:cstheme="minorHAnsi"/>
          <w:color w:val="auto"/>
          <w:sz w:val="22"/>
          <w:szCs w:val="22"/>
        </w:rPr>
        <w:t>IČ: 065 83 342, DIČ:  CZ 065 83 342</w:t>
      </w:r>
    </w:p>
    <w:p>
      <w:pPr>
        <w:pStyle w:val="Normal"/>
        <w:rPr>
          <w:rStyle w:val="A2"/>
          <w:rFonts w:cs="Calibri" w:cstheme="minorHAnsi"/>
          <w:color w:val="auto"/>
          <w:sz w:val="22"/>
          <w:szCs w:val="22"/>
        </w:rPr>
      </w:pPr>
      <w:r>
        <w:rPr>
          <w:rStyle w:val="A2"/>
          <w:rFonts w:cs="Calibri" w:cstheme="minorHAnsi"/>
          <w:color w:val="auto"/>
          <w:sz w:val="22"/>
          <w:szCs w:val="22"/>
        </w:rPr>
        <w:t>Zapsaná v obchodním rejstříku vedeném Městským soudem v Praze, oddíl C, vložka 284807</w:t>
      </w:r>
    </w:p>
    <w:p>
      <w:pPr>
        <w:pStyle w:val="Normal"/>
        <w:rPr>
          <w:rStyle w:val="A2"/>
          <w:rFonts w:cs="Calibri" w:cstheme="minorHAnsi"/>
          <w:color w:val="auto"/>
          <w:sz w:val="22"/>
          <w:szCs w:val="22"/>
        </w:rPr>
      </w:pPr>
      <w:r>
        <w:rPr>
          <w:rStyle w:val="A2"/>
          <w:rFonts w:cs="Calibri" w:cstheme="minorHAnsi"/>
          <w:color w:val="auto"/>
          <w:sz w:val="22"/>
          <w:szCs w:val="22"/>
        </w:rPr>
        <w:t>zastoupena:  JUDr. Jaroslav Kostohryz</w:t>
      </w:r>
    </w:p>
    <w:p>
      <w:pPr>
        <w:pStyle w:val="Normal"/>
        <w:rPr>
          <w:rStyle w:val="A2"/>
          <w:rFonts w:cs="Calibri" w:cstheme="minorHAnsi"/>
          <w:color w:val="auto"/>
          <w:sz w:val="22"/>
          <w:szCs w:val="22"/>
        </w:rPr>
      </w:pPr>
      <w:r>
        <w:rPr>
          <w:rStyle w:val="A2"/>
          <w:rFonts w:cs="Calibri" w:cstheme="minorHAnsi"/>
          <w:color w:val="auto"/>
          <w:sz w:val="22"/>
          <w:szCs w:val="22"/>
        </w:rPr>
        <w:t>Bankovní spojení: 45454567/5500</w:t>
      </w:r>
    </w:p>
    <w:p>
      <w:pPr>
        <w:pStyle w:val="Normal"/>
        <w:rPr>
          <w:rStyle w:val="A2"/>
          <w:rFonts w:cs="Calibri" w:cstheme="minorHAnsi"/>
          <w:color w:val="auto"/>
          <w:sz w:val="22"/>
          <w:szCs w:val="22"/>
        </w:rPr>
      </w:pPr>
      <w:r>
        <w:rPr>
          <w:rStyle w:val="A2"/>
          <w:rFonts w:cs="Calibri" w:cstheme="minorHAnsi"/>
          <w:color w:val="auto"/>
          <w:sz w:val="22"/>
          <w:szCs w:val="22"/>
        </w:rPr>
        <w:t>kontaktní telefon:  00420 603 526 265</w:t>
      </w:r>
    </w:p>
    <w:p>
      <w:pPr>
        <w:pStyle w:val="Normal"/>
        <w:rPr>
          <w:rStyle w:val="A2"/>
          <w:rFonts w:cs="Calibri" w:cstheme="minorHAnsi"/>
          <w:color w:val="auto"/>
          <w:sz w:val="22"/>
          <w:szCs w:val="22"/>
        </w:rPr>
      </w:pPr>
      <w:r>
        <w:rPr>
          <w:rStyle w:val="A2"/>
          <w:rFonts w:cs="Calibri" w:cstheme="minorHAnsi"/>
          <w:color w:val="auto"/>
          <w:sz w:val="22"/>
          <w:szCs w:val="22"/>
        </w:rPr>
        <w:t>kontaktní email: jaroslav.kostohryz@gepardservices.cz</w:t>
      </w:r>
    </w:p>
    <w:p>
      <w:pPr>
        <w:pStyle w:val="Normal"/>
        <w:rPr>
          <w:rStyle w:val="A2"/>
          <w:rFonts w:cs="Calibri" w:cstheme="minorHAnsi"/>
          <w:color w:val="auto"/>
          <w:sz w:val="22"/>
          <w:szCs w:val="22"/>
        </w:rPr>
      </w:pPr>
      <w:r>
        <w:rPr>
          <w:rStyle w:val="A2"/>
          <w:rFonts w:cs="Calibri" w:cstheme="minorHAnsi"/>
          <w:color w:val="auto"/>
          <w:sz w:val="22"/>
          <w:szCs w:val="22"/>
        </w:rPr>
        <w:t>(dále jen „</w:t>
      </w:r>
      <w:r>
        <w:rPr>
          <w:rStyle w:val="A2"/>
          <w:rFonts w:cs="Calibri" w:cstheme="minorHAnsi"/>
          <w:b/>
          <w:color w:val="auto"/>
          <w:sz w:val="22"/>
          <w:szCs w:val="22"/>
        </w:rPr>
        <w:t>Dodavatel</w:t>
      </w:r>
      <w:r>
        <w:rPr>
          <w:rStyle w:val="A2"/>
          <w:rFonts w:cs="Calibri" w:cstheme="minorHAnsi"/>
          <w:color w:val="auto"/>
          <w:sz w:val="22"/>
          <w:szCs w:val="22"/>
        </w:rPr>
        <w:t>“)</w:t>
      </w:r>
    </w:p>
    <w:p>
      <w:pPr>
        <w:pStyle w:val="Normal"/>
        <w:rPr>
          <w:rStyle w:val="A2"/>
          <w:rFonts w:cs="Calibri" w:cstheme="minorHAnsi"/>
          <w:color w:val="auto"/>
          <w:sz w:val="22"/>
          <w:szCs w:val="22"/>
        </w:rPr>
      </w:pPr>
      <w:r>
        <w:rPr>
          <w:rStyle w:val="A2"/>
          <w:rFonts w:cs="Calibri" w:cstheme="minorHAnsi"/>
          <w:color w:val="auto"/>
          <w:sz w:val="22"/>
          <w:szCs w:val="22"/>
        </w:rPr>
        <w:t>a</w:t>
      </w:r>
    </w:p>
    <w:p>
      <w:pPr>
        <w:pStyle w:val="Normal"/>
        <w:rPr>
          <w:rStyle w:val="A2"/>
          <w:rFonts w:cs="Calibri" w:cstheme="minorHAnsi"/>
          <w:b/>
          <w:b/>
          <w:color w:val="auto"/>
          <w:sz w:val="22"/>
          <w:szCs w:val="22"/>
        </w:rPr>
      </w:pPr>
      <w:r>
        <w:rPr>
          <w:rStyle w:val="A2"/>
          <w:rFonts w:cs="Calibri" w:cstheme="minorHAnsi"/>
          <w:b/>
          <w:color w:val="auto"/>
          <w:sz w:val="22"/>
          <w:szCs w:val="22"/>
        </w:rPr>
        <w:t>Název:  Základní škola Kouřim, Okružní 435</w:t>
      </w:r>
    </w:p>
    <w:p>
      <w:pPr>
        <w:pStyle w:val="Normal"/>
        <w:rPr>
          <w:rStyle w:val="A2"/>
          <w:rFonts w:cs="Calibri" w:cstheme="minorHAnsi"/>
          <w:color w:val="auto"/>
          <w:sz w:val="22"/>
          <w:szCs w:val="22"/>
        </w:rPr>
      </w:pPr>
      <w:r>
        <w:rPr>
          <w:rStyle w:val="A2"/>
          <w:rFonts w:cs="Calibri" w:cstheme="minorHAnsi"/>
          <w:color w:val="auto"/>
          <w:sz w:val="22"/>
          <w:szCs w:val="22"/>
        </w:rPr>
        <w:t>Sídlo: nám. Okružní 435, 281 61 Kouřim</w:t>
      </w:r>
    </w:p>
    <w:p>
      <w:pPr>
        <w:pStyle w:val="Normal"/>
        <w:rPr>
          <w:rStyle w:val="A2"/>
          <w:rFonts w:cs="Calibri" w:cstheme="minorHAnsi"/>
          <w:color w:val="auto"/>
          <w:sz w:val="22"/>
          <w:szCs w:val="22"/>
        </w:rPr>
      </w:pPr>
      <w:r>
        <w:rPr>
          <w:rStyle w:val="A2"/>
          <w:rFonts w:cs="Calibri" w:cstheme="minorHAnsi"/>
          <w:color w:val="auto"/>
          <w:sz w:val="22"/>
          <w:szCs w:val="22"/>
        </w:rPr>
        <w:t>IČ:    70836256          DIČ: ……………………………………………..</w:t>
      </w:r>
    </w:p>
    <w:p>
      <w:pPr>
        <w:pStyle w:val="Normal"/>
        <w:rPr>
          <w:rStyle w:val="A2"/>
          <w:rFonts w:cs="Calibri" w:cstheme="minorHAnsi"/>
          <w:color w:val="auto"/>
          <w:sz w:val="22"/>
          <w:szCs w:val="22"/>
        </w:rPr>
      </w:pPr>
      <w:r>
        <w:rPr>
          <w:rStyle w:val="A2"/>
          <w:rFonts w:cs="Calibri" w:cstheme="minorHAnsi"/>
          <w:color w:val="auto"/>
          <w:sz w:val="22"/>
          <w:szCs w:val="22"/>
        </w:rPr>
        <w:t xml:space="preserve">Bankovní spojení:  </w:t>
      </w:r>
    </w:p>
    <w:p>
      <w:pPr>
        <w:pStyle w:val="Normal"/>
        <w:rPr>
          <w:rStyle w:val="A2"/>
          <w:rFonts w:cs="Calibri" w:cstheme="minorHAnsi"/>
          <w:color w:val="auto"/>
          <w:sz w:val="22"/>
          <w:szCs w:val="22"/>
        </w:rPr>
      </w:pPr>
      <w:r>
        <w:rPr>
          <w:rStyle w:val="A2"/>
          <w:rFonts w:cs="Calibri" w:cstheme="minorHAnsi"/>
          <w:color w:val="auto"/>
          <w:sz w:val="22"/>
          <w:szCs w:val="22"/>
        </w:rPr>
        <w:t xml:space="preserve">Zastoupena:  Mgr. Jana Ležalová                         </w:t>
      </w:r>
    </w:p>
    <w:p>
      <w:pPr>
        <w:pStyle w:val="Normal"/>
        <w:rPr>
          <w:rStyle w:val="A2"/>
          <w:rFonts w:cs="Calibri" w:cstheme="minorHAnsi"/>
          <w:color w:val="auto"/>
          <w:sz w:val="22"/>
          <w:szCs w:val="22"/>
        </w:rPr>
      </w:pPr>
      <w:r>
        <w:rPr>
          <w:rStyle w:val="A2"/>
          <w:rFonts w:cs="Calibri" w:cstheme="minorHAnsi"/>
          <w:color w:val="auto"/>
          <w:sz w:val="22"/>
          <w:szCs w:val="22"/>
        </w:rPr>
        <w:t>kontaktní telefon:  321 783 632</w:t>
      </w:r>
    </w:p>
    <w:p>
      <w:pPr>
        <w:pStyle w:val="Normal"/>
        <w:rPr>
          <w:rFonts w:cs="Calibri" w:cstheme="minorHAnsi"/>
        </w:rPr>
      </w:pPr>
      <w:r>
        <w:rPr>
          <w:rStyle w:val="A2"/>
          <w:rFonts w:cs="Calibri" w:cstheme="minorHAnsi"/>
          <w:color w:val="auto"/>
          <w:sz w:val="22"/>
          <w:szCs w:val="22"/>
        </w:rPr>
        <w:t>kontaktní email:   zvskourim@centrum.cz</w:t>
      </w:r>
    </w:p>
    <w:p>
      <w:pPr>
        <w:pStyle w:val="Normal"/>
        <w:rPr>
          <w:rStyle w:val="A2"/>
          <w:rFonts w:cs="Calibri" w:cstheme="minorHAnsi"/>
          <w:color w:val="auto"/>
          <w:sz w:val="22"/>
          <w:szCs w:val="22"/>
        </w:rPr>
      </w:pPr>
      <w:r>
        <w:rPr>
          <w:rFonts w:cs="Calibri" w:cstheme="minorHAnsi"/>
          <w:color w:val="auto"/>
          <w:sz w:val="22"/>
          <w:szCs w:val="22"/>
        </w:rPr>
      </w:r>
    </w:p>
    <w:p>
      <w:pPr>
        <w:pStyle w:val="Normal"/>
        <w:rPr>
          <w:rStyle w:val="A2"/>
          <w:rFonts w:cs="Calibri" w:cstheme="minorHAnsi"/>
          <w:color w:val="auto"/>
          <w:sz w:val="22"/>
          <w:szCs w:val="22"/>
        </w:rPr>
      </w:pPr>
      <w:r>
        <w:rPr>
          <w:rStyle w:val="A2"/>
          <w:rFonts w:cs="Calibri" w:cstheme="minorHAnsi"/>
          <w:color w:val="auto"/>
          <w:sz w:val="22"/>
          <w:szCs w:val="22"/>
        </w:rPr>
        <w:t>(dále jen „</w:t>
      </w:r>
      <w:r>
        <w:rPr>
          <w:rStyle w:val="A2"/>
          <w:rFonts w:cs="Calibri" w:cstheme="minorHAnsi"/>
          <w:b/>
          <w:color w:val="auto"/>
          <w:sz w:val="22"/>
          <w:szCs w:val="22"/>
        </w:rPr>
        <w:t>Objednatel</w:t>
      </w:r>
      <w:r>
        <w:rPr>
          <w:rStyle w:val="A2"/>
          <w:rFonts w:cs="Calibri" w:cstheme="minorHAnsi"/>
          <w:color w:val="auto"/>
          <w:sz w:val="22"/>
          <w:szCs w:val="22"/>
        </w:rPr>
        <w:t>“)</w:t>
      </w:r>
    </w:p>
    <w:p>
      <w:pPr>
        <w:pStyle w:val="Normal"/>
        <w:rPr>
          <w:rFonts w:cs="Calibri" w:cstheme="minorHAnsi"/>
        </w:rPr>
      </w:pPr>
      <w:r>
        <w:rPr>
          <w:rFonts w:cs="Calibri" w:cstheme="minorHAnsi"/>
        </w:rPr>
      </w:r>
    </w:p>
    <w:p>
      <w:pPr>
        <w:pStyle w:val="Normal"/>
        <w:jc w:val="center"/>
        <w:rPr>
          <w:rFonts w:cs="Calibri" w:cstheme="minorHAnsi"/>
        </w:rPr>
      </w:pPr>
      <w:r>
        <w:rPr>
          <w:rFonts w:cs="Calibri" w:cstheme="minorHAnsi"/>
        </w:rPr>
        <w:t xml:space="preserve">Uzavřeli níže uvedeného dne </w:t>
      </w:r>
    </w:p>
    <w:p>
      <w:pPr>
        <w:pStyle w:val="Normal"/>
        <w:jc w:val="center"/>
        <w:rPr>
          <w:rFonts w:cs="Calibri" w:cstheme="minorHAnsi"/>
        </w:rPr>
      </w:pPr>
      <w:r>
        <w:rPr>
          <w:rFonts w:cs="Calibri" w:cstheme="minorHAnsi"/>
        </w:rPr>
        <w:t>ve smyslu čl. 37 a násl. nařízení Evropského parlamentu a Rady č. 2016/679 ze dne 26.4.2016, tzv. obecné nařízení o ochraně osobních údajů (dále také jen „Nařízení“ či „GDPR“)</w:t>
        <w:br/>
        <w:t>tuto</w:t>
      </w:r>
    </w:p>
    <w:p>
      <w:pPr>
        <w:pStyle w:val="Normal"/>
        <w:rPr>
          <w:rFonts w:cs="Calibri" w:cstheme="minorHAnsi"/>
          <w:b/>
          <w:b/>
        </w:rPr>
      </w:pPr>
      <w:r>
        <w:rPr>
          <w:rFonts w:cs="Calibri" w:cstheme="minorHAnsi"/>
          <w:b/>
        </w:rPr>
      </w:r>
    </w:p>
    <w:p>
      <w:pPr>
        <w:pStyle w:val="Normal"/>
        <w:jc w:val="center"/>
        <w:rPr>
          <w:rFonts w:cs="Calibri" w:cstheme="minorHAnsi"/>
          <w:b/>
          <w:b/>
        </w:rPr>
      </w:pPr>
      <w:r>
        <w:rPr>
          <w:rFonts w:cs="Calibri" w:cstheme="minorHAnsi"/>
          <w:b/>
        </w:rPr>
        <w:t>Smlouvu o poskytování služeb pověřence pro ochranu osobních údajů</w:t>
      </w:r>
    </w:p>
    <w:p>
      <w:pPr>
        <w:pStyle w:val="Normal"/>
        <w:rPr>
          <w:rFonts w:cs="Calibri" w:cstheme="minorHAnsi"/>
        </w:rPr>
      </w:pPr>
      <w:r>
        <w:rPr>
          <w:rFonts w:cs="Calibri" w:cstheme="minorHAnsi"/>
        </w:rPr>
      </w:r>
    </w:p>
    <w:p>
      <w:pPr>
        <w:pStyle w:val="ListParagraph"/>
        <w:ind w:left="360" w:hanging="0"/>
        <w:jc w:val="center"/>
        <w:rPr>
          <w:rFonts w:cs="Calibri" w:cstheme="minorHAnsi"/>
          <w:b/>
          <w:b/>
        </w:rPr>
      </w:pPr>
      <w:r>
        <w:rPr>
          <w:rFonts w:cs="Calibri" w:cstheme="minorHAnsi"/>
          <w:b/>
        </w:rPr>
        <w:t>1. Předmět smlouvy</w:t>
      </w:r>
    </w:p>
    <w:p>
      <w:pPr>
        <w:pStyle w:val="Normal"/>
        <w:ind w:left="142" w:hanging="0"/>
        <w:jc w:val="both"/>
        <w:rPr>
          <w:rFonts w:cs="Calibri" w:cstheme="minorHAnsi"/>
          <w:b/>
          <w:b/>
        </w:rPr>
      </w:pPr>
      <w:r>
        <w:rPr>
          <w:rFonts w:cs="Calibri" w:cstheme="minorHAnsi"/>
        </w:rPr>
        <w:t xml:space="preserve">1) Dodavatel se na základě této Smlouvy zavazuje pro Objednatele zajistit funkci </w:t>
      </w:r>
      <w:r>
        <w:rPr>
          <w:rFonts w:cs="Calibri" w:cstheme="minorHAnsi"/>
          <w:b/>
        </w:rPr>
        <w:t xml:space="preserve">pověřence pro ochranu osobních údajů </w:t>
      </w:r>
      <w:r>
        <w:rPr>
          <w:rFonts w:cs="Calibri" w:cstheme="minorHAnsi"/>
        </w:rPr>
        <w:t xml:space="preserve">(dále také jen </w:t>
      </w:r>
      <w:r>
        <w:rPr>
          <w:rFonts w:cs="Calibri" w:cstheme="minorHAnsi"/>
          <w:b/>
        </w:rPr>
        <w:t>„Pověřenec“</w:t>
      </w:r>
      <w:r>
        <w:rPr>
          <w:rFonts w:cs="Calibri" w:cstheme="minorHAnsi"/>
        </w:rPr>
        <w:t xml:space="preserve">). </w:t>
      </w:r>
    </w:p>
    <w:p>
      <w:pPr>
        <w:pStyle w:val="Default"/>
        <w:ind w:left="142" w:hanging="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2) Dodavatel se na základě této Smlouvy zavazuje zajistit pro Objednatele </w:t>
      </w:r>
      <w:r>
        <w:rPr>
          <w:rFonts w:cs="Calibri" w:ascii="Calibri" w:hAnsi="Calibri" w:asciiTheme="minorHAnsi" w:cstheme="minorHAnsi" w:hAnsiTheme="minorHAnsi"/>
          <w:b/>
          <w:color w:val="auto"/>
          <w:sz w:val="22"/>
          <w:szCs w:val="22"/>
        </w:rPr>
        <w:t>poradenství směřující k dosažení souladu nakládání s osobními údaji s GDPR</w:t>
      </w:r>
      <w:r>
        <w:rPr>
          <w:rFonts w:cs="Calibri" w:ascii="Calibri" w:hAnsi="Calibri" w:asciiTheme="minorHAnsi" w:cstheme="minorHAnsi" w:hAnsiTheme="minorHAnsi"/>
          <w:color w:val="auto"/>
          <w:sz w:val="22"/>
          <w:szCs w:val="22"/>
        </w:rPr>
        <w:t xml:space="preserve">, obsahující: </w:t>
      </w:r>
    </w:p>
    <w:p>
      <w:pPr>
        <w:pStyle w:val="Default"/>
        <w:numPr>
          <w:ilvl w:val="0"/>
          <w:numId w:val="3"/>
        </w:numPr>
        <w:spacing w:before="0" w:after="38"/>
        <w:jc w:val="both"/>
        <w:rPr>
          <w:rStyle w:val="A2"/>
          <w:rFonts w:ascii="Calibri" w:hAnsi="Calibri" w:cs="Calibri" w:asciiTheme="minorHAnsi" w:cstheme="minorHAnsi" w:hAnsiTheme="minorHAnsi"/>
          <w:color w:val="auto"/>
          <w:sz w:val="22"/>
          <w:szCs w:val="22"/>
        </w:rPr>
      </w:pPr>
      <w:r>
        <w:rPr>
          <w:rStyle w:val="A2"/>
          <w:rFonts w:cs="Calibri" w:ascii="Calibri" w:hAnsi="Calibri" w:asciiTheme="minorHAnsi" w:cstheme="minorHAnsi" w:hAnsiTheme="minorHAnsi"/>
          <w:color w:val="auto"/>
          <w:sz w:val="22"/>
          <w:szCs w:val="22"/>
        </w:rPr>
        <w:t>Prověření vnitřní řídící dokumentace související s ochranou osobních údajů a prověření procesů a kontrolních mechanismů souvisejících s ochranou osobních údajů;</w:t>
      </w:r>
    </w:p>
    <w:p>
      <w:pPr>
        <w:pStyle w:val="Default"/>
        <w:numPr>
          <w:ilvl w:val="0"/>
          <w:numId w:val="3"/>
        </w:numPr>
        <w:spacing w:before="0" w:after="38"/>
        <w:jc w:val="both"/>
        <w:rPr>
          <w:rStyle w:val="A2"/>
          <w:rFonts w:ascii="Calibri" w:hAnsi="Calibri" w:cs="Calibri" w:asciiTheme="minorHAnsi" w:cstheme="minorHAnsi" w:hAnsiTheme="minorHAnsi"/>
          <w:color w:val="auto"/>
          <w:sz w:val="22"/>
          <w:szCs w:val="22"/>
        </w:rPr>
      </w:pPr>
      <w:r>
        <w:rPr>
          <w:rStyle w:val="A2"/>
          <w:rFonts w:cs="Calibri" w:ascii="Calibri" w:hAnsi="Calibri" w:asciiTheme="minorHAnsi" w:cstheme="minorHAnsi" w:hAnsiTheme="minorHAnsi"/>
          <w:color w:val="auto"/>
          <w:sz w:val="22"/>
          <w:szCs w:val="22"/>
        </w:rPr>
        <w:t>Analýzu dat a klasifikace osobních údajů, včetně jejich umístění, objemu, struktury a zabezpečení;</w:t>
      </w:r>
    </w:p>
    <w:p>
      <w:pPr>
        <w:pStyle w:val="Default"/>
        <w:numPr>
          <w:ilvl w:val="0"/>
          <w:numId w:val="3"/>
        </w:numPr>
        <w:spacing w:before="0" w:after="38"/>
        <w:jc w:val="both"/>
        <w:rPr>
          <w:rStyle w:val="A2"/>
          <w:rFonts w:ascii="Calibri" w:hAnsi="Calibri" w:cs="Calibri" w:asciiTheme="minorHAnsi" w:cstheme="minorHAnsi" w:hAnsiTheme="minorHAnsi"/>
          <w:color w:val="auto"/>
          <w:sz w:val="22"/>
          <w:szCs w:val="22"/>
        </w:rPr>
      </w:pPr>
      <w:r>
        <w:rPr>
          <w:rStyle w:val="A2"/>
          <w:rFonts w:cs="Calibri" w:ascii="Calibri" w:hAnsi="Calibri" w:asciiTheme="minorHAnsi" w:cstheme="minorHAnsi" w:hAnsiTheme="minorHAnsi"/>
          <w:color w:val="auto"/>
          <w:sz w:val="22"/>
          <w:szCs w:val="22"/>
        </w:rPr>
        <w:t>Analýzu účelů zpracování osobních údajů a posouzení jejich legitimity ve vazbě na GDPR. Prověření dodržování povinností dle GDPR - týkajících se ochrany osobních údajů;</w:t>
      </w:r>
    </w:p>
    <w:p>
      <w:pPr>
        <w:pStyle w:val="Default"/>
        <w:numPr>
          <w:ilvl w:val="0"/>
          <w:numId w:val="3"/>
        </w:numPr>
        <w:spacing w:before="0" w:after="38"/>
        <w:jc w:val="both"/>
        <w:rPr>
          <w:rStyle w:val="A2"/>
          <w:rFonts w:ascii="Calibri" w:hAnsi="Calibri" w:cs="Calibri" w:asciiTheme="minorHAnsi" w:cstheme="minorHAnsi" w:hAnsiTheme="minorHAnsi"/>
          <w:color w:val="auto"/>
          <w:sz w:val="22"/>
          <w:szCs w:val="22"/>
        </w:rPr>
      </w:pPr>
      <w:r>
        <w:rPr>
          <w:rStyle w:val="A2"/>
          <w:rFonts w:cs="Calibri" w:ascii="Calibri" w:hAnsi="Calibri" w:asciiTheme="minorHAnsi" w:cstheme="minorHAnsi" w:hAnsiTheme="minorHAnsi"/>
          <w:color w:val="auto"/>
          <w:sz w:val="22"/>
          <w:szCs w:val="22"/>
        </w:rPr>
        <w:t>Identifikaci rizik při zpracování osobních údajů, včetně posouzení jejich závažnosti a návrh opatření pro eliminaci zjištěných vysokých rizik (v ceně není nákup konkrétních technologických opatření);</w:t>
      </w:r>
    </w:p>
    <w:p>
      <w:pPr>
        <w:pStyle w:val="Default"/>
        <w:numPr>
          <w:ilvl w:val="0"/>
          <w:numId w:val="3"/>
        </w:numPr>
        <w:spacing w:before="0" w:after="38"/>
        <w:jc w:val="both"/>
        <w:rPr>
          <w:rStyle w:val="A2"/>
          <w:rFonts w:ascii="Calibri" w:hAnsi="Calibri" w:cs="Calibri" w:asciiTheme="minorHAnsi" w:cstheme="minorHAnsi" w:hAnsiTheme="minorHAnsi"/>
          <w:color w:val="auto"/>
          <w:sz w:val="22"/>
          <w:szCs w:val="22"/>
        </w:rPr>
      </w:pPr>
      <w:r>
        <w:rPr>
          <w:rStyle w:val="A2"/>
          <w:rFonts w:cs="Calibri" w:ascii="Calibri" w:hAnsi="Calibri" w:asciiTheme="minorHAnsi" w:cstheme="minorHAnsi" w:hAnsiTheme="minorHAnsi"/>
          <w:color w:val="auto"/>
          <w:sz w:val="22"/>
          <w:szCs w:val="22"/>
        </w:rPr>
        <w:t>Poskytnutí vzorové dokumentace k úpravě “na míru”</w:t>
      </w:r>
    </w:p>
    <w:p>
      <w:pPr>
        <w:pStyle w:val="Default"/>
        <w:numPr>
          <w:ilvl w:val="0"/>
          <w:numId w:val="3"/>
        </w:numPr>
        <w:spacing w:before="0" w:after="38"/>
        <w:jc w:val="both"/>
        <w:rPr>
          <w:rStyle w:val="A2"/>
          <w:rFonts w:ascii="Calibri" w:hAnsi="Calibri" w:cs="Calibri" w:asciiTheme="minorHAnsi" w:cstheme="minorHAnsi" w:hAnsiTheme="minorHAnsi"/>
          <w:color w:val="auto"/>
          <w:sz w:val="22"/>
          <w:szCs w:val="22"/>
        </w:rPr>
      </w:pPr>
      <w:r>
        <w:rPr>
          <w:rStyle w:val="A2"/>
          <w:rFonts w:cs="Calibri" w:ascii="Calibri" w:hAnsi="Calibri" w:asciiTheme="minorHAnsi" w:cstheme="minorHAnsi" w:hAnsiTheme="minorHAnsi"/>
          <w:color w:val="auto"/>
          <w:sz w:val="22"/>
          <w:szCs w:val="22"/>
        </w:rPr>
        <w:t xml:space="preserve">Řádné povinné proškolení všech relevantních pracovníků. </w:t>
      </w:r>
    </w:p>
    <w:p>
      <w:pPr>
        <w:pStyle w:val="Default"/>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3) Dodavatel se na základě této Smlouvy zavazuje pro Objednatele zajistit </w:t>
      </w:r>
      <w:r>
        <w:rPr>
          <w:rFonts w:cs="Calibri" w:ascii="Calibri" w:hAnsi="Calibri" w:asciiTheme="minorHAnsi" w:cstheme="minorHAnsi" w:hAnsiTheme="minorHAnsi"/>
          <w:b/>
          <w:color w:val="auto"/>
          <w:sz w:val="22"/>
          <w:szCs w:val="22"/>
        </w:rPr>
        <w:t>Interní audit souladu nakládání s osobními údaji s GDPR (</w:t>
      </w:r>
      <w:r>
        <w:rPr>
          <w:rFonts w:cs="Calibri" w:ascii="Calibri" w:hAnsi="Calibri" w:asciiTheme="minorHAnsi" w:cstheme="minorHAnsi" w:hAnsiTheme="minorHAnsi"/>
          <w:color w:val="auto"/>
          <w:sz w:val="22"/>
          <w:szCs w:val="22"/>
        </w:rPr>
        <w:t xml:space="preserve">předmětem auditu je zhodnocení skutečného stavu nakládání s osobními údaji a jeho souladu s GDPR). Audit je ukončen předáním protokolu o závěrech auditu Objednateli. Objednatel se zavazuje případné výhrady Dodavatele zapracovat bez zbytečného odkladu od předání protokolu dle předcházející věty. </w:t>
      </w:r>
    </w:p>
    <w:p>
      <w:pPr>
        <w:pStyle w:val="Default"/>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Default"/>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4) Objednatel se za služby dle této Smlouvy výše (bod 1.1, 1.2. a 1.3) zavazuje uhradit Dodavateli sjednanou cenu. </w:t>
      </w:r>
    </w:p>
    <w:p>
      <w:pPr>
        <w:pStyle w:val="ListParagraph"/>
        <w:ind w:left="792" w:hanging="0"/>
        <w:rPr>
          <w:rFonts w:cs="Calibri" w:cstheme="minorHAnsi"/>
          <w:b/>
          <w:b/>
        </w:rPr>
      </w:pPr>
      <w:r>
        <w:rPr>
          <w:rFonts w:cs="Calibri" w:cstheme="minorHAnsi"/>
          <w:b/>
        </w:rPr>
      </w:r>
    </w:p>
    <w:p>
      <w:pPr>
        <w:pStyle w:val="ListParagraph"/>
        <w:ind w:left="360" w:hanging="0"/>
        <w:rPr>
          <w:rFonts w:cs="Calibri" w:cstheme="minorHAnsi"/>
          <w:b/>
          <w:b/>
        </w:rPr>
      </w:pPr>
      <w:r>
        <w:rPr>
          <w:rFonts w:cs="Calibri" w:cstheme="minorHAnsi"/>
          <w:b/>
        </w:rPr>
        <w:t>2. Činnost Pověřence</w:t>
      </w:r>
    </w:p>
    <w:p>
      <w:pPr>
        <w:pStyle w:val="Nadpis2"/>
        <w:numPr>
          <w:ilvl w:val="0"/>
          <w:numId w:val="8"/>
        </w:numPr>
        <w:rPr>
          <w:rStyle w:val="A2"/>
          <w:rFonts w:ascii="Calibri" w:hAnsi="Calibri" w:cs="Calibri" w:asciiTheme="minorHAnsi" w:cstheme="minorHAnsi" w:hAnsiTheme="minorHAnsi"/>
          <w:b w:val="false"/>
          <w:b w:val="false"/>
          <w:color w:val="auto"/>
          <w:sz w:val="22"/>
          <w:szCs w:val="22"/>
        </w:rPr>
      </w:pPr>
      <w:r>
        <w:rPr>
          <w:rStyle w:val="A2"/>
          <w:rFonts w:cs="Calibri" w:ascii="Calibri" w:hAnsi="Calibri" w:asciiTheme="minorHAnsi" w:cstheme="minorHAnsi" w:hAnsiTheme="minorHAnsi"/>
          <w:b w:val="false"/>
          <w:color w:val="auto"/>
          <w:sz w:val="22"/>
          <w:szCs w:val="22"/>
        </w:rPr>
        <w:t xml:space="preserve">Činnost Pověřence zahrnuje tyto činnosti dle platné právní úpravy: </w:t>
      </w:r>
    </w:p>
    <w:p>
      <w:pPr>
        <w:pStyle w:val="ListParagraph"/>
        <w:numPr>
          <w:ilvl w:val="0"/>
          <w:numId w:val="4"/>
        </w:numPr>
        <w:jc w:val="both"/>
        <w:rPr>
          <w:rStyle w:val="A2"/>
          <w:rFonts w:cs="Calibri" w:cstheme="minorHAnsi"/>
          <w:color w:val="auto"/>
          <w:sz w:val="22"/>
          <w:szCs w:val="22"/>
        </w:rPr>
      </w:pPr>
      <w:r>
        <w:rPr>
          <w:rStyle w:val="A2"/>
          <w:rFonts w:cs="Calibri" w:cstheme="minorHAnsi"/>
          <w:color w:val="auto"/>
          <w:sz w:val="22"/>
          <w:szCs w:val="22"/>
        </w:rPr>
        <w:t>Monitorování stavu ochrany osobních údajů a souladu zpracování osobních údajů s GDPR;</w:t>
      </w:r>
    </w:p>
    <w:p>
      <w:pPr>
        <w:pStyle w:val="ListParagraph"/>
        <w:numPr>
          <w:ilvl w:val="0"/>
          <w:numId w:val="4"/>
        </w:numPr>
        <w:jc w:val="both"/>
        <w:rPr>
          <w:rStyle w:val="A2"/>
          <w:rFonts w:cs="Calibri" w:cstheme="minorHAnsi"/>
          <w:color w:val="auto"/>
          <w:sz w:val="22"/>
          <w:szCs w:val="22"/>
        </w:rPr>
      </w:pPr>
      <w:r>
        <w:rPr>
          <w:rStyle w:val="A2"/>
          <w:rFonts w:cs="Calibri" w:cstheme="minorHAnsi"/>
          <w:color w:val="auto"/>
          <w:sz w:val="22"/>
          <w:szCs w:val="22"/>
        </w:rPr>
        <w:t xml:space="preserve">Konzultace nových operací zpracování dle čl. 39 GDPR; </w:t>
      </w:r>
    </w:p>
    <w:p>
      <w:pPr>
        <w:pStyle w:val="ListParagraph"/>
        <w:numPr>
          <w:ilvl w:val="0"/>
          <w:numId w:val="4"/>
        </w:numPr>
        <w:jc w:val="both"/>
        <w:rPr>
          <w:rStyle w:val="A2"/>
          <w:rFonts w:cs="Calibri" w:cstheme="minorHAnsi"/>
          <w:color w:val="auto"/>
          <w:sz w:val="22"/>
          <w:szCs w:val="22"/>
        </w:rPr>
      </w:pPr>
      <w:r>
        <w:rPr>
          <w:rStyle w:val="A2"/>
          <w:rFonts w:cs="Calibri" w:cstheme="minorHAnsi"/>
          <w:color w:val="auto"/>
          <w:sz w:val="22"/>
          <w:szCs w:val="22"/>
        </w:rPr>
        <w:t xml:space="preserve">Provádění posouzení vlivu na ochranu osobních údajů (DPIA) dle čl. 39 a 35 GDPR; </w:t>
      </w:r>
    </w:p>
    <w:p>
      <w:pPr>
        <w:pStyle w:val="ListParagraph"/>
        <w:numPr>
          <w:ilvl w:val="0"/>
          <w:numId w:val="4"/>
        </w:numPr>
        <w:jc w:val="both"/>
        <w:rPr>
          <w:rStyle w:val="A2"/>
          <w:rFonts w:cs="Calibri" w:cstheme="minorHAnsi"/>
          <w:color w:val="auto"/>
          <w:sz w:val="22"/>
          <w:szCs w:val="22"/>
        </w:rPr>
      </w:pPr>
      <w:r>
        <w:rPr>
          <w:rStyle w:val="A2"/>
          <w:rFonts w:cs="Calibri" w:cstheme="minorHAnsi"/>
          <w:color w:val="auto"/>
          <w:sz w:val="22"/>
          <w:szCs w:val="22"/>
        </w:rPr>
        <w:t>Kontaktní místo pro subjekty údajů, správce údajů a dozorový úřad a spolupráce s dozorovým úřadem dle čl. 37 GDPR;</w:t>
      </w:r>
    </w:p>
    <w:p>
      <w:pPr>
        <w:pStyle w:val="ListParagraph"/>
        <w:numPr>
          <w:ilvl w:val="0"/>
          <w:numId w:val="4"/>
        </w:numPr>
        <w:jc w:val="both"/>
        <w:rPr>
          <w:rStyle w:val="A2"/>
          <w:rFonts w:cs="Calibri" w:cstheme="minorHAnsi"/>
          <w:color w:val="auto"/>
          <w:sz w:val="22"/>
          <w:szCs w:val="22"/>
        </w:rPr>
      </w:pPr>
      <w:r>
        <w:rPr>
          <w:rStyle w:val="A2"/>
          <w:rFonts w:cs="Calibri" w:cstheme="minorHAnsi"/>
          <w:color w:val="auto"/>
          <w:sz w:val="22"/>
          <w:szCs w:val="22"/>
        </w:rPr>
        <w:t>Ohlašování případů porušení zabezpečení osobních údajů dozorovému úřadu dle čl. 33 GDPR a subjektu údajů dle čl. 34 GDPR;</w:t>
      </w:r>
    </w:p>
    <w:p>
      <w:pPr>
        <w:pStyle w:val="ListParagraph"/>
        <w:numPr>
          <w:ilvl w:val="0"/>
          <w:numId w:val="4"/>
        </w:numPr>
        <w:jc w:val="both"/>
        <w:rPr>
          <w:rStyle w:val="A2"/>
          <w:rFonts w:cs="Calibri" w:cstheme="minorHAnsi"/>
          <w:color w:val="auto"/>
          <w:sz w:val="22"/>
          <w:szCs w:val="22"/>
        </w:rPr>
      </w:pPr>
      <w:r>
        <w:rPr>
          <w:rStyle w:val="A2"/>
          <w:rFonts w:cs="Calibri" w:cstheme="minorHAnsi"/>
          <w:color w:val="auto"/>
          <w:sz w:val="22"/>
          <w:szCs w:val="22"/>
        </w:rPr>
        <w:t>Poskytování informací a poradenství v oblasti ochrany osobních údajů dle čl. 39 GDPR;</w:t>
      </w:r>
    </w:p>
    <w:p>
      <w:pPr>
        <w:pStyle w:val="ListParagraph"/>
        <w:numPr>
          <w:ilvl w:val="0"/>
          <w:numId w:val="4"/>
        </w:numPr>
        <w:jc w:val="both"/>
        <w:rPr>
          <w:rStyle w:val="A2"/>
          <w:rFonts w:cs="Calibri" w:cstheme="minorHAnsi"/>
          <w:color w:val="auto"/>
          <w:sz w:val="22"/>
          <w:szCs w:val="22"/>
        </w:rPr>
      </w:pPr>
      <w:r>
        <w:rPr>
          <w:rStyle w:val="A2"/>
          <w:rFonts w:cs="Calibri" w:cstheme="minorHAnsi"/>
          <w:color w:val="auto"/>
          <w:sz w:val="22"/>
          <w:szCs w:val="22"/>
        </w:rPr>
        <w:t>Odborná školení zaměstnanců zapojených do procesu zpracování dle čl. 39 GDPR;</w:t>
      </w:r>
    </w:p>
    <w:p>
      <w:pPr>
        <w:pStyle w:val="Nadpis2"/>
        <w:numPr>
          <w:ilvl w:val="0"/>
          <w:numId w:val="8"/>
        </w:numPr>
        <w:jc w:val="both"/>
        <w:rPr>
          <w:rStyle w:val="A2"/>
          <w:rFonts w:ascii="Calibri" w:hAnsi="Calibri" w:cs="Calibri" w:asciiTheme="minorHAnsi" w:cstheme="minorHAnsi" w:hAnsiTheme="minorHAnsi"/>
          <w:b w:val="false"/>
          <w:b w:val="false"/>
          <w:color w:val="auto"/>
          <w:sz w:val="22"/>
          <w:szCs w:val="22"/>
        </w:rPr>
      </w:pPr>
      <w:r>
        <w:rPr>
          <w:rStyle w:val="A2"/>
          <w:rFonts w:cs="Calibri" w:ascii="Calibri" w:hAnsi="Calibri" w:asciiTheme="minorHAnsi" w:cstheme="minorHAnsi" w:hAnsiTheme="minorHAnsi"/>
          <w:b w:val="false"/>
          <w:color w:val="auto"/>
          <w:sz w:val="22"/>
          <w:szCs w:val="22"/>
        </w:rPr>
        <w:t xml:space="preserve">Pověřencem může být pouze osoba, která splňuje požadavky platné právní úpravy na profesní kvalifikaci, odborné znalosti práva a ochrany osobních údajů a je schopna plnit úkoly stanovené v čl. 39 Nařízení, jakož i splňuje veškeré další podmínky dle oddílu 4 Nařízení. </w:t>
      </w:r>
    </w:p>
    <w:p>
      <w:pPr>
        <w:pStyle w:val="Nadpis2"/>
        <w:numPr>
          <w:ilvl w:val="0"/>
          <w:numId w:val="8"/>
        </w:numPr>
        <w:jc w:val="both"/>
        <w:rPr>
          <w:rStyle w:val="A2"/>
          <w:rFonts w:ascii="Calibri" w:hAnsi="Calibri" w:cs="Calibri" w:asciiTheme="minorHAnsi" w:cstheme="minorHAnsi" w:hAnsiTheme="minorHAnsi"/>
          <w:b w:val="false"/>
          <w:b w:val="false"/>
          <w:color w:val="auto"/>
          <w:sz w:val="22"/>
          <w:szCs w:val="22"/>
        </w:rPr>
      </w:pPr>
      <w:r>
        <w:rPr>
          <w:rStyle w:val="A2"/>
          <w:rFonts w:cs="Calibri" w:ascii="Calibri" w:hAnsi="Calibri" w:asciiTheme="minorHAnsi" w:cstheme="minorHAnsi" w:hAnsiTheme="minorHAnsi"/>
          <w:b w:val="false"/>
          <w:color w:val="auto"/>
          <w:sz w:val="22"/>
          <w:szCs w:val="22"/>
        </w:rPr>
        <w:t xml:space="preserve">Dodavatel zajišťuje funkci Pověřence pomocí svých pracovníků splňujících požadavky právní úpravy, Dodavatel je povinen zajistit plnou zastupitelnost Pověřence a jeho dostupnost po celý týden včetně víkendů. </w:t>
      </w:r>
    </w:p>
    <w:p>
      <w:pPr>
        <w:pStyle w:val="Normal"/>
        <w:rPr/>
      </w:pPr>
      <w:r>
        <w:rPr/>
      </w:r>
    </w:p>
    <w:p>
      <w:pPr>
        <w:pStyle w:val="Normal"/>
        <w:rPr/>
      </w:pPr>
      <w:r>
        <w:rPr/>
      </w:r>
    </w:p>
    <w:p>
      <w:pPr>
        <w:pStyle w:val="Normal"/>
        <w:rPr>
          <w:rFonts w:cs="Calibri" w:cstheme="minorHAnsi"/>
          <w:b/>
          <w:b/>
        </w:rPr>
      </w:pPr>
      <w:r>
        <w:rPr>
          <w:rFonts w:cs="Calibri" w:cstheme="minorHAnsi"/>
          <w:b/>
        </w:rPr>
        <w:t xml:space="preserve">3. Cena </w:t>
      </w:r>
    </w:p>
    <w:p>
      <w:pPr>
        <w:pStyle w:val="ListParagraph"/>
        <w:numPr>
          <w:ilvl w:val="1"/>
          <w:numId w:val="2"/>
        </w:numPr>
        <w:rPr>
          <w:rFonts w:cs="Calibri" w:cstheme="minorHAnsi"/>
        </w:rPr>
      </w:pPr>
      <w:r>
        <w:rPr>
          <w:rFonts w:cs="Calibri" w:cstheme="minorHAnsi"/>
        </w:rPr>
        <w:t>Standardní (základní) cena za služby, které jsou předmětem této smlouvy,  činí 207 984,00 Kč (slovy: „dvěstěsedmtisícdevětsetosmdesátčtyřikorun českých“) .</w:t>
      </w:r>
    </w:p>
    <w:p>
      <w:pPr>
        <w:pStyle w:val="Normal"/>
        <w:ind w:left="792" w:hanging="0"/>
        <w:jc w:val="both"/>
        <w:rPr>
          <w:rFonts w:cs="Calibri" w:cstheme="minorHAnsi"/>
        </w:rPr>
      </w:pPr>
      <w:r>
        <w:rPr>
          <w:rFonts w:cs="Calibri" w:cstheme="minorHAnsi"/>
        </w:rPr>
        <w:t>Objednatel se zavazuje uhradit Dodavateli sjednanou cenu v závislosti na délce trvání Smlouvy takto:</w:t>
      </w:r>
    </w:p>
    <w:p>
      <w:pPr>
        <w:pStyle w:val="ListParagraph"/>
        <w:numPr>
          <w:ilvl w:val="1"/>
          <w:numId w:val="8"/>
        </w:numPr>
        <w:jc w:val="both"/>
        <w:rPr>
          <w:rFonts w:cs="Calibri" w:cstheme="minorHAnsi"/>
        </w:rPr>
      </w:pPr>
      <w:r>
        <w:rPr>
          <w:rFonts w:cs="Calibri" w:cstheme="minorHAnsi"/>
        </w:rPr>
        <w:t xml:space="preserve"> </w:t>
      </w:r>
      <w:r>
        <w:rPr>
          <w:rFonts w:cs="Calibri" w:cstheme="minorHAnsi"/>
          <w:bdr w:val="single" w:sz="8" w:space="0" w:color="000000"/>
        </w:rPr>
        <w:t xml:space="preserve">    </w:t>
      </w:r>
      <w:r>
        <w:rPr>
          <w:rFonts w:cs="Calibri" w:cstheme="minorHAnsi"/>
        </w:rPr>
        <w:t xml:space="preserve"> </w:t>
      </w:r>
      <w:r>
        <w:rPr>
          <w:rFonts w:cs="Calibri" w:cstheme="minorHAnsi"/>
        </w:rPr>
        <w:t>V případě uzavření smlouvy na období 24 měsíců ode dne jejího uzavření ve formě 24 měsíčních splátek standardní ceny ve výši celkem………………………Kč, tj. ………………………….měsíčně, nebo</w:t>
      </w:r>
    </w:p>
    <w:p>
      <w:pPr>
        <w:pStyle w:val="ListParagraph"/>
        <w:jc w:val="both"/>
        <w:rPr>
          <w:rFonts w:cs="Calibri" w:cstheme="minorHAnsi"/>
        </w:rPr>
      </w:pPr>
      <w:r>
        <w:rPr>
          <w:rFonts w:cs="Calibri" w:cstheme="minorHAnsi"/>
        </w:rPr>
      </w:r>
    </w:p>
    <w:p>
      <w:pPr>
        <w:pStyle w:val="ListParagraph"/>
        <w:numPr>
          <w:ilvl w:val="1"/>
          <w:numId w:val="8"/>
        </w:numPr>
        <w:jc w:val="both"/>
        <w:rPr>
          <w:rFonts w:cs="Calibri" w:cstheme="minorHAnsi"/>
        </w:rPr>
      </w:pPr>
      <w:r>
        <w:rPr>
          <w:rFonts w:cs="Calibri" w:cstheme="minorHAnsi"/>
          <w:bdr w:val="single" w:sz="8" w:space="0" w:color="000000"/>
        </w:rPr>
        <w:t xml:space="preserve">    </w:t>
      </w:r>
      <w:r>
        <w:rPr>
          <w:rFonts w:cs="Calibri" w:cstheme="minorHAnsi"/>
        </w:rPr>
        <w:t xml:space="preserve"> </w:t>
      </w:r>
      <w:r>
        <w:rPr>
          <w:rFonts w:cs="Calibri" w:cstheme="minorHAnsi"/>
        </w:rPr>
        <w:t>V případě uzavření smlouvy na období 36 měsíců ode dne jejího uzavření ve formě 48 měsíčních splátek standardní ceny ve výši celkem………………………Kč měsíčně (kdy v tomto případě Dodavatel poskytuje Objednateli slevu ve výši ... % standardní ceny), tj. ………………………………….měsíčně</w:t>
      </w:r>
    </w:p>
    <w:p>
      <w:pPr>
        <w:pStyle w:val="ListParagraph"/>
        <w:rPr>
          <w:rFonts w:cs="Calibri" w:cstheme="minorHAnsi"/>
          <w:bdr w:val="single" w:sz="8" w:space="0" w:color="000000"/>
        </w:rPr>
      </w:pPr>
      <w:r>
        <w:rPr>
          <w:rFonts w:cs="Calibri" w:cstheme="minorHAnsi"/>
          <w:bdr w:val="single" w:sz="8" w:space="0" w:color="000000"/>
        </w:rPr>
      </w:r>
    </w:p>
    <w:p>
      <w:pPr>
        <w:pStyle w:val="ListParagraph"/>
        <w:numPr>
          <w:ilvl w:val="1"/>
          <w:numId w:val="8"/>
        </w:numPr>
        <w:jc w:val="both"/>
        <w:rPr>
          <w:rFonts w:cs="Calibri" w:cstheme="minorHAnsi"/>
        </w:rPr>
      </w:pPr>
      <w:r>
        <w:rPr>
          <w:rFonts w:cs="Calibri" w:cstheme="minorHAnsi"/>
          <w:bdr w:val="single" w:sz="8" w:space="0" w:color="000000"/>
        </w:rPr>
        <w:t xml:space="preserve"> </w:t>
      </w:r>
      <w:r>
        <w:rPr>
          <w:rFonts w:cs="Calibri" w:cstheme="minorHAnsi"/>
          <w:bdr w:val="single" w:sz="8" w:space="0" w:color="000000"/>
        </w:rPr>
        <w:t xml:space="preserve">x   </w:t>
      </w:r>
      <w:r>
        <w:rPr>
          <w:rFonts w:cs="Calibri" w:cstheme="minorHAnsi"/>
        </w:rPr>
        <w:t xml:space="preserve"> V případě uzavření smlouvy na období 48 měsíců ode dne jejího uzavření ve formě 48 měsíčních splátek standardní ceny ve výši celkem 4 333,00 Kč měsíčně (kdy v tomto případě Dodavatel poskytuje Objednateli slevu ze standardní ceny), k úhradě tj</w:t>
      </w:r>
      <w:r>
        <w:rPr>
          <w:rFonts w:cs="Calibri" w:cstheme="minorHAnsi"/>
          <w:b/>
        </w:rPr>
        <w:t>.  1 950,00 Kč</w:t>
      </w:r>
      <w:r>
        <w:rPr>
          <w:rFonts w:cs="Calibri" w:cstheme="minorHAnsi"/>
        </w:rPr>
        <w:t xml:space="preserve"> měsíčně, včetně DPH.</w:t>
      </w:r>
    </w:p>
    <w:p>
      <w:pPr>
        <w:pStyle w:val="ListParagraph"/>
        <w:jc w:val="both"/>
        <w:rPr>
          <w:rFonts w:cs="Calibri" w:cstheme="minorHAnsi"/>
        </w:rPr>
      </w:pPr>
      <w:r>
        <w:rPr>
          <w:rFonts w:cs="Calibri" w:cstheme="minorHAnsi"/>
        </w:rPr>
      </w:r>
    </w:p>
    <w:p>
      <w:pPr>
        <w:pStyle w:val="ListParagraph"/>
        <w:jc w:val="both"/>
        <w:rPr>
          <w:rFonts w:cs="Calibri" w:cstheme="minorHAnsi"/>
        </w:rPr>
      </w:pPr>
      <w:r>
        <w:rPr>
          <w:rFonts w:cs="Calibri" w:cstheme="minorHAnsi"/>
        </w:rPr>
        <w:t>(cena dle písm. a), b)nebo c) čl. 3 této Smlouvy dále také jen „základní cena“).</w:t>
      </w:r>
    </w:p>
    <w:p>
      <w:pPr>
        <w:pStyle w:val="Normal"/>
        <w:jc w:val="both"/>
        <w:rPr>
          <w:rFonts w:cs="Calibri" w:cstheme="minorHAnsi"/>
        </w:rPr>
      </w:pPr>
      <w:r>
        <w:rPr>
          <w:rFonts w:cs="Calibri" w:cstheme="minorHAnsi"/>
        </w:rPr>
      </w:r>
    </w:p>
    <w:p>
      <w:pPr>
        <w:pStyle w:val="ListParagraph"/>
        <w:numPr>
          <w:ilvl w:val="1"/>
          <w:numId w:val="2"/>
        </w:numPr>
        <w:rPr>
          <w:rFonts w:cs="Calibri" w:cstheme="minorHAnsi"/>
        </w:rPr>
      </w:pPr>
      <w:r>
        <w:rPr>
          <w:rFonts w:cs="Calibri" w:cstheme="minorHAnsi"/>
        </w:rPr>
        <w:t>Měsíční splátka Ceny je splatná vždy k 15. dni kalendářního měsíce.</w:t>
      </w:r>
    </w:p>
    <w:p>
      <w:pPr>
        <w:pStyle w:val="ListParagraph"/>
        <w:numPr>
          <w:ilvl w:val="1"/>
          <w:numId w:val="2"/>
        </w:numPr>
        <w:jc w:val="both"/>
        <w:rPr>
          <w:rFonts w:cs="Calibri" w:cstheme="minorHAnsi"/>
        </w:rPr>
      </w:pPr>
      <w:r>
        <w:rPr>
          <w:rFonts w:cs="Calibri" w:cstheme="minorHAnsi"/>
        </w:rPr>
        <w:t xml:space="preserve">V případě prodlení s hrazením Ceny resp. jakékoli její splátky dle této Smlouvy je Objednatel povinen uhradit Dodavateli zákonný úrok z prodlení z dlužné částky. </w:t>
      </w:r>
    </w:p>
    <w:p>
      <w:pPr>
        <w:pStyle w:val="Normal"/>
        <w:rPr>
          <w:rFonts w:cs="Calibri" w:cstheme="minorHAnsi"/>
          <w:b/>
          <w:b/>
        </w:rPr>
      </w:pPr>
      <w:r>
        <w:rPr>
          <w:rFonts w:cs="Calibri" w:cstheme="minorHAnsi"/>
          <w:b/>
        </w:rPr>
        <w:t>4. Práva a povinnosti Objednatele</w:t>
      </w:r>
    </w:p>
    <w:p>
      <w:pPr>
        <w:pStyle w:val="ListParagraph"/>
        <w:numPr>
          <w:ilvl w:val="1"/>
          <w:numId w:val="2"/>
        </w:numPr>
        <w:rPr>
          <w:rFonts w:cs="Calibri" w:cstheme="minorHAnsi"/>
          <w:b/>
          <w:b/>
        </w:rPr>
      </w:pPr>
      <w:r>
        <w:rPr>
          <w:rFonts w:cs="Calibri" w:cstheme="minorHAnsi"/>
          <w:b/>
        </w:rPr>
        <w:t>Kontaktní osobou</w:t>
      </w:r>
      <w:r>
        <w:rPr>
          <w:rFonts w:cs="Calibri" w:cstheme="minorHAnsi"/>
        </w:rPr>
        <w:t xml:space="preserve"> Objednatele pro Pověřence i Dodavatele je její statutární zástupce</w:t>
      </w:r>
      <w:r>
        <w:rPr>
          <w:rFonts w:cs="Calibri" w:cstheme="minorHAnsi"/>
          <w:b/>
        </w:rPr>
        <w:t>.</w:t>
      </w:r>
    </w:p>
    <w:p>
      <w:pPr>
        <w:pStyle w:val="ListParagraph"/>
        <w:numPr>
          <w:ilvl w:val="1"/>
          <w:numId w:val="2"/>
        </w:numPr>
        <w:jc w:val="both"/>
        <w:rPr>
          <w:rFonts w:cs="Calibri" w:cstheme="minorHAnsi"/>
          <w:b/>
          <w:b/>
        </w:rPr>
      </w:pPr>
      <w:r>
        <w:rPr>
          <w:rFonts w:cs="Calibri" w:cstheme="minorHAnsi"/>
        </w:rPr>
        <w:t xml:space="preserve">Objednatel není oprávněn udílet Pověřenci resp. Dodavateli pokyny týkající se výkonu zákonných úkolů Pověřence, zejména není oprávněn Pověřenci resp. Dodavateli nařizovat přijímat určité názory v záležitostech týkajících se ochrany dat, instruovat je ohledně toho, jak má vykonávat svou funkci, řešit nějaký problém, jak prošetřovat stížnosti či zda konzultovat zpracování s dozorovým úřadem. Objednatel není oprávněn Pověřence resp. Dodavatele sankcionovat v souvislosti s plněním úkolů Pověřence.  </w:t>
      </w:r>
    </w:p>
    <w:p>
      <w:pPr>
        <w:pStyle w:val="ListParagraph"/>
        <w:numPr>
          <w:ilvl w:val="1"/>
          <w:numId w:val="2"/>
        </w:numPr>
        <w:jc w:val="both"/>
        <w:rPr>
          <w:rFonts w:cs="Calibri" w:cstheme="minorHAnsi"/>
          <w:b/>
          <w:b/>
        </w:rPr>
      </w:pPr>
      <w:r>
        <w:rPr>
          <w:rFonts w:cs="Calibri" w:cstheme="minorHAnsi"/>
        </w:rPr>
        <w:t xml:space="preserve">Objednatel je povinen vyvarovat se všech činností, které by mohly znamenat vznik střetu zájmů Pověřence a aktivně předcházet vzniku střetu zájmů Pověřence.  </w:t>
      </w:r>
    </w:p>
    <w:p>
      <w:pPr>
        <w:pStyle w:val="ListParagraph"/>
        <w:numPr>
          <w:ilvl w:val="1"/>
          <w:numId w:val="2"/>
        </w:numPr>
        <w:jc w:val="both"/>
        <w:rPr>
          <w:rFonts w:cs="Calibri" w:cstheme="minorHAnsi"/>
          <w:b/>
          <w:b/>
        </w:rPr>
      </w:pPr>
      <w:r>
        <w:rPr>
          <w:rFonts w:cs="Calibri" w:cstheme="minorHAnsi"/>
        </w:rPr>
        <w:t>Objednatel je povinen Dodavateli resp. Pověřenci poskytovat veškerou součinnost a informace potřebné k plnění této Smlouvy a k řádnému plnění úkolů Pověřence</w:t>
      </w:r>
      <w:r>
        <w:rPr>
          <w:rFonts w:cs="Calibri" w:cstheme="minorHAnsi"/>
          <w:b/>
        </w:rPr>
        <w:t xml:space="preserve">, zejména, nikoli však výlučně: </w:t>
      </w:r>
    </w:p>
    <w:p>
      <w:pPr>
        <w:pStyle w:val="ListParagraph"/>
        <w:numPr>
          <w:ilvl w:val="0"/>
          <w:numId w:val="5"/>
        </w:numPr>
        <w:jc w:val="both"/>
        <w:rPr>
          <w:rFonts w:cs="Calibri" w:cstheme="minorHAnsi"/>
        </w:rPr>
      </w:pPr>
      <w:r>
        <w:rPr>
          <w:rFonts w:cs="Calibri" w:cstheme="minorHAnsi"/>
        </w:rPr>
        <w:t>Aktivně podporovat funkci Pověřence ze strany vedoucích pracovníků,</w:t>
      </w:r>
    </w:p>
    <w:p>
      <w:pPr>
        <w:pStyle w:val="ListParagraph"/>
        <w:numPr>
          <w:ilvl w:val="0"/>
          <w:numId w:val="5"/>
        </w:numPr>
        <w:jc w:val="both"/>
        <w:rPr>
          <w:rFonts w:cs="Calibri" w:cstheme="minorHAnsi"/>
        </w:rPr>
      </w:pPr>
      <w:r>
        <w:rPr>
          <w:rFonts w:cs="Calibri" w:cstheme="minorHAnsi"/>
        </w:rPr>
        <w:t>Poskytovat Pověřenci dostatečný čas na to, aby mohl plnit své povinnosti,</w:t>
      </w:r>
    </w:p>
    <w:p>
      <w:pPr>
        <w:pStyle w:val="ListParagraph"/>
        <w:numPr>
          <w:ilvl w:val="0"/>
          <w:numId w:val="5"/>
        </w:numPr>
        <w:jc w:val="both"/>
        <w:rPr>
          <w:rFonts w:cs="Calibri" w:cstheme="minorHAnsi"/>
        </w:rPr>
      </w:pPr>
      <w:r>
        <w:rPr>
          <w:rFonts w:cs="Calibri" w:cstheme="minorHAnsi"/>
        </w:rPr>
        <w:t>Poskytovat pověřenci řádně a včas veškeré informace nezbytné k plnění jeho úkolů a vydání posudků a stanovisek;</w:t>
      </w:r>
    </w:p>
    <w:p>
      <w:pPr>
        <w:pStyle w:val="ListParagraph"/>
        <w:numPr>
          <w:ilvl w:val="0"/>
          <w:numId w:val="5"/>
        </w:numPr>
        <w:jc w:val="both"/>
        <w:rPr>
          <w:rFonts w:cs="Calibri" w:cstheme="minorHAnsi"/>
        </w:rPr>
      </w:pPr>
      <w:r>
        <w:rPr>
          <w:rFonts w:cs="Calibri" w:cstheme="minorHAnsi"/>
        </w:rPr>
        <w:t>Umožnit Pověřenci jeho účast na rozhodování s dopadem do ochrany osobních údajů;</w:t>
      </w:r>
    </w:p>
    <w:p>
      <w:pPr>
        <w:pStyle w:val="ListParagraph"/>
        <w:numPr>
          <w:ilvl w:val="0"/>
          <w:numId w:val="5"/>
        </w:numPr>
        <w:jc w:val="both"/>
        <w:rPr>
          <w:rFonts w:cs="Calibri" w:cstheme="minorHAnsi"/>
        </w:rPr>
      </w:pPr>
      <w:r>
        <w:rPr>
          <w:rFonts w:cs="Calibri" w:cstheme="minorHAnsi"/>
        </w:rPr>
        <w:t>Oznámit jméno a příjmení Pověřence a jeho kontaktní údaje všem zaměstnancům Objednatele běžným způsobem v rámci Objednatele;</w:t>
      </w:r>
    </w:p>
    <w:p>
      <w:pPr>
        <w:pStyle w:val="ListParagraph"/>
        <w:numPr>
          <w:ilvl w:val="0"/>
          <w:numId w:val="5"/>
        </w:numPr>
        <w:jc w:val="both"/>
        <w:rPr>
          <w:rFonts w:cs="Calibri" w:cstheme="minorHAnsi"/>
        </w:rPr>
      </w:pPr>
      <w:r>
        <w:rPr>
          <w:rFonts w:cs="Calibri" w:cstheme="minorHAnsi"/>
        </w:rPr>
        <w:t>vyvěsit kontaktní údaje Pověřence na úřední desce Objednatele a na webových stránkách Objednatele, jakož i včetně povinně zveřejňovaných informací podle zákona č. 106/1999 Sb. a oznámit identifikaci Pověřence Úřadu pro Ochranu osobních údajů;</w:t>
      </w:r>
    </w:p>
    <w:p>
      <w:pPr>
        <w:pStyle w:val="ListParagraph"/>
        <w:numPr>
          <w:ilvl w:val="0"/>
          <w:numId w:val="5"/>
        </w:numPr>
        <w:jc w:val="both"/>
        <w:rPr>
          <w:rFonts w:cs="Calibri" w:cstheme="minorHAnsi"/>
        </w:rPr>
      </w:pPr>
      <w:r>
        <w:rPr>
          <w:rFonts w:cs="Calibri" w:cstheme="minorHAnsi"/>
        </w:rPr>
        <w:t>zajistit, že v rámci kontaktních údajů budou uvedeny dostatečné údaje, aby byla zajištěna možnost subjektu údajů kontaktovat Pověřence, a to i anonymně;</w:t>
      </w:r>
    </w:p>
    <w:p>
      <w:pPr>
        <w:pStyle w:val="ListParagraph"/>
        <w:numPr>
          <w:ilvl w:val="0"/>
          <w:numId w:val="5"/>
        </w:numPr>
        <w:jc w:val="both"/>
        <w:rPr>
          <w:rFonts w:cs="Calibri" w:cstheme="minorHAnsi"/>
        </w:rPr>
      </w:pPr>
      <w:r>
        <w:rPr>
          <w:rFonts w:cs="Calibri" w:cstheme="minorHAnsi"/>
        </w:rPr>
        <w:t xml:space="preserve">Zajistit Pověřenci přístup k dalším službám v rámci Objednatele (právní oddělení, IT atd.), aby se zajistilo, že Pověřenec může od těchto dalších služeb obdržet základní podporu, vstupy nebo informace nutné k plnění jeho úkolů. </w:t>
      </w:r>
    </w:p>
    <w:p>
      <w:pPr>
        <w:pStyle w:val="ListParagraph"/>
        <w:numPr>
          <w:ilvl w:val="0"/>
          <w:numId w:val="5"/>
        </w:numPr>
        <w:jc w:val="both"/>
        <w:rPr>
          <w:rFonts w:cs="Calibri" w:cstheme="minorHAnsi"/>
        </w:rPr>
      </w:pPr>
      <w:r>
        <w:rPr>
          <w:rFonts w:cs="Calibri" w:cstheme="minorHAnsi"/>
        </w:rPr>
        <w:t xml:space="preserve">umožnit průběžné školení Dodavatele ve vztahu k procesům Objednatele, přístupu k osobním údajů a operacím jejich zpracování </w:t>
      </w:r>
    </w:p>
    <w:p>
      <w:pPr>
        <w:pStyle w:val="ListParagraph"/>
        <w:numPr>
          <w:ilvl w:val="0"/>
          <w:numId w:val="5"/>
        </w:numPr>
        <w:jc w:val="both"/>
        <w:rPr>
          <w:rFonts w:cs="Calibri" w:cstheme="minorHAnsi"/>
        </w:rPr>
      </w:pPr>
      <w:r>
        <w:rPr>
          <w:rFonts w:cs="Calibri" w:cstheme="minorHAnsi"/>
        </w:rPr>
        <w:t>zapojit Pověřence náležitě do veškerých aktivit souvisejících s ochranou osobních údajů, typicky např. v souvislosti s posouzením vlivu na ochranu osobních údajů, kdy si Objednatel vždy vyžádá posudek Pověřence. Posudek si Objednatel mj. vždy vyžádá k vyřešení otázek, zda je nutné posouzení vlivu, jakou metodikou, jaká ochranná opatření přijmout, zda bylo posouzení správné, v jakých lhůtách je potřeba posouzení revidovat. Za tímto účelem smluvní strany sjednávají, že kontakt ze strany Objednatele bude probíhat výlučně strukturovaným emailem či písemně tak, aby byl celý případ vždy řádně zdokumentován. Na jiné formy kontaktu v tomto směru není Pověřenec povinen reagovat.;</w:t>
      </w:r>
    </w:p>
    <w:p>
      <w:pPr>
        <w:pStyle w:val="ListParagraph"/>
        <w:numPr>
          <w:ilvl w:val="0"/>
          <w:numId w:val="5"/>
        </w:numPr>
        <w:jc w:val="both"/>
        <w:rPr>
          <w:rFonts w:cs="Calibri" w:cstheme="minorHAnsi"/>
        </w:rPr>
      </w:pPr>
      <w:r>
        <w:rPr>
          <w:rFonts w:cs="Calibri" w:cstheme="minorHAnsi"/>
        </w:rPr>
        <w:t>zajistit, aby stanovisku Pověřence vždy  byla přiznána patřičná závažnost, pro případ nesouhlasu se stanoviskem Pověřence Objednatel zadokumentuje důvody, proč Pověřencova rada nebyla následována. O tom, že se neřídila Objednatel jeho radou, bude Objednatel Pověřence řádně a včas informovat;</w:t>
      </w:r>
    </w:p>
    <w:p>
      <w:pPr>
        <w:pStyle w:val="ListParagraph"/>
        <w:numPr>
          <w:ilvl w:val="0"/>
          <w:numId w:val="5"/>
        </w:numPr>
        <w:jc w:val="both"/>
        <w:rPr>
          <w:rFonts w:cs="Calibri" w:cstheme="minorHAnsi"/>
        </w:rPr>
      </w:pPr>
      <w:r>
        <w:rPr>
          <w:rFonts w:cs="Calibri" w:cstheme="minorHAnsi"/>
        </w:rPr>
        <w:t>zajistit, aby Pověřenec byl bezodkladně informován o jakémkoliv podezření na porušení zabezpečení ochrany osobních údajů nebo jiné události, která by mohla mít vliv na zásah do práv subjektů údajů;</w:t>
      </w:r>
    </w:p>
    <w:p>
      <w:pPr>
        <w:pStyle w:val="ListParagraph"/>
        <w:numPr>
          <w:ilvl w:val="0"/>
          <w:numId w:val="5"/>
        </w:numPr>
        <w:jc w:val="both"/>
        <w:rPr>
          <w:rFonts w:cs="Calibri" w:cstheme="minorHAnsi"/>
        </w:rPr>
      </w:pPr>
      <w:r>
        <w:rPr>
          <w:rFonts w:cs="Calibri" w:cstheme="minorHAnsi"/>
        </w:rPr>
        <w:t xml:space="preserve">zajistit Pověřenci jeho nezávislost a přecházet vzniku střetu zájmů na straně Pověřence. </w:t>
      </w:r>
    </w:p>
    <w:p>
      <w:pPr>
        <w:pStyle w:val="ListParagraph"/>
        <w:numPr>
          <w:ilvl w:val="1"/>
          <w:numId w:val="2"/>
        </w:numPr>
        <w:rPr>
          <w:rFonts w:cs="Calibri" w:cstheme="minorHAnsi"/>
          <w:b/>
          <w:b/>
        </w:rPr>
      </w:pPr>
      <w:r>
        <w:rPr>
          <w:rFonts w:cs="Calibri" w:cstheme="minorHAnsi"/>
        </w:rPr>
        <w:t xml:space="preserve"> </w:t>
      </w:r>
      <w:r>
        <w:rPr>
          <w:rFonts w:cs="Calibri" w:cstheme="minorHAnsi"/>
        </w:rPr>
        <w:t>Objednatel je povinen plnit své povinnosti informovat Pověřence v souladu s metodikou, kterou navrhne Pověřenec nejpozději do 30.5. 2018, a to svou kontaktní osobou.</w:t>
      </w:r>
    </w:p>
    <w:p>
      <w:pPr>
        <w:pStyle w:val="ListParagraph"/>
        <w:numPr>
          <w:ilvl w:val="1"/>
          <w:numId w:val="2"/>
        </w:numPr>
        <w:jc w:val="both"/>
        <w:rPr>
          <w:rFonts w:cs="Calibri" w:cstheme="minorHAnsi"/>
        </w:rPr>
      </w:pPr>
      <w:r>
        <w:rPr>
          <w:rFonts w:cs="Calibri" w:cstheme="minorHAnsi"/>
        </w:rPr>
        <w:t xml:space="preserve">Objednatel je povinen v případě potřeby svou kontaktní osobou vhodným způsobem (osobně/emailem/písemně/telefonicky s písemným či emailovým doplněním informace) informovat Pověřence o aktuálních informacích a změnách v shromažďování a zpracování osobních údajů, jakož i o všech skutečnostech, které mohou mít dopad na zpracování osobních údajů. </w:t>
      </w:r>
    </w:p>
    <w:p>
      <w:pPr>
        <w:pStyle w:val="ListParagraph"/>
        <w:numPr>
          <w:ilvl w:val="1"/>
          <w:numId w:val="2"/>
        </w:numPr>
        <w:jc w:val="both"/>
        <w:rPr>
          <w:rFonts w:cs="Calibri" w:cstheme="minorHAnsi"/>
        </w:rPr>
      </w:pPr>
      <w:r>
        <w:rPr>
          <w:rFonts w:cs="Calibri" w:cstheme="minorHAnsi"/>
        </w:rPr>
        <w:t xml:space="preserve">Objednatel bere na vědomí, že Pověřenec není povinen se účastnit zasedání pedagogické rady Objednatele, ani sám zajišťovat obdržení potřebných informací. V případě, že o svou účast na zasedání pedagogické rady Objednatele Pověřenec požádá, je mu ji Objednatel povinen umožnit. </w:t>
      </w:r>
    </w:p>
    <w:p>
      <w:pPr>
        <w:pStyle w:val="ListParagraph"/>
        <w:numPr>
          <w:ilvl w:val="1"/>
          <w:numId w:val="2"/>
        </w:numPr>
        <w:jc w:val="both"/>
        <w:rPr>
          <w:rFonts w:cs="Calibri" w:cstheme="minorHAnsi"/>
        </w:rPr>
      </w:pPr>
      <w:r>
        <w:rPr>
          <w:rFonts w:cs="Calibri" w:cstheme="minorHAnsi"/>
        </w:rPr>
        <w:t xml:space="preserve">Po dobu prodlení Objednatele s dodáním informací nebo součinnosti Dodavateli resp. Pověřenci není Dodavatel resp. Pověřenec v prodlení; právo Dodavatele na úhradu Ceny není prodlením Objednatele nijak dotčeno.  </w:t>
      </w:r>
    </w:p>
    <w:p>
      <w:pPr>
        <w:pStyle w:val="ListParagraph"/>
        <w:ind w:left="792" w:hanging="0"/>
        <w:rPr>
          <w:rFonts w:cs="Calibri" w:cstheme="minorHAnsi"/>
          <w:b/>
          <w:b/>
        </w:rPr>
      </w:pPr>
      <w:r>
        <w:rPr>
          <w:rFonts w:cs="Calibri" w:cstheme="minorHAnsi"/>
          <w:b/>
        </w:rPr>
      </w:r>
    </w:p>
    <w:p>
      <w:pPr>
        <w:pStyle w:val="ListParagraph"/>
        <w:numPr>
          <w:ilvl w:val="0"/>
          <w:numId w:val="10"/>
        </w:numPr>
        <w:rPr>
          <w:rFonts w:cs="Calibri" w:cstheme="minorHAnsi"/>
          <w:b/>
          <w:b/>
        </w:rPr>
      </w:pPr>
      <w:r>
        <w:rPr>
          <w:rFonts w:cs="Calibri" w:cstheme="minorHAnsi"/>
          <w:b/>
        </w:rPr>
        <w:t>Práva a povinnosti Dodavatele, kontaktní údaje, záruka</w:t>
      </w:r>
    </w:p>
    <w:p>
      <w:pPr>
        <w:pStyle w:val="ListParagraph"/>
        <w:numPr>
          <w:ilvl w:val="1"/>
          <w:numId w:val="10"/>
        </w:numPr>
        <w:ind w:left="851" w:hanging="360"/>
        <w:jc w:val="both"/>
        <w:rPr>
          <w:rFonts w:cs="Calibri" w:cstheme="minorHAnsi"/>
        </w:rPr>
      </w:pPr>
      <w:r>
        <w:rPr>
          <w:rFonts w:cs="Calibri" w:cstheme="minorHAnsi"/>
        </w:rPr>
        <w:t>Kontaktní údaje Pověřence dle čl. 37 odst. 7 Nařízení a osoby odpovědné za poskytování poradenství dle této Smlouvy sdělí Dodavatel Objednateli bez zbytečného odkladu po nabytí účinnosti této Smlouvy.</w:t>
      </w:r>
    </w:p>
    <w:p>
      <w:pPr>
        <w:pStyle w:val="ListParagraph"/>
        <w:numPr>
          <w:ilvl w:val="1"/>
          <w:numId w:val="10"/>
        </w:numPr>
        <w:ind w:left="851" w:hanging="360"/>
        <w:jc w:val="both"/>
        <w:rPr>
          <w:rFonts w:cs="Calibri" w:cstheme="minorHAnsi"/>
        </w:rPr>
      </w:pPr>
      <w:r>
        <w:rPr>
          <w:rFonts w:cs="Calibri" w:cstheme="minorHAnsi"/>
        </w:rPr>
        <w:t xml:space="preserve">Dodavatel je povinen zahájit poskytování poradenství dle čl. 1.2. této Smlouvy do 15ti dní ode dne nabytí účinnosti této Smlouvy a služby dle čl. 1.3 této Smlouvy do 2 měsíců ode dne nabytí účinnosti této Smlouvy. </w:t>
      </w:r>
    </w:p>
    <w:p>
      <w:pPr>
        <w:pStyle w:val="ListParagraph"/>
        <w:numPr>
          <w:ilvl w:val="1"/>
          <w:numId w:val="10"/>
        </w:numPr>
        <w:ind w:left="851" w:hanging="360"/>
        <w:jc w:val="both"/>
        <w:rPr>
          <w:rFonts w:cs="Calibri" w:cstheme="minorHAnsi"/>
        </w:rPr>
      </w:pPr>
      <w:r>
        <w:rPr>
          <w:rFonts w:cs="Calibri" w:cstheme="minorHAnsi"/>
        </w:rPr>
        <w:t xml:space="preserve">Dodavatel nenese osobní odpovědnost za nedodržování souladu s obecným nařízením o ochraně osobních údajů ve smyslu čl. 24 odst. 1 Nařízení za správce resp. zpracovatele. </w:t>
      </w:r>
    </w:p>
    <w:p>
      <w:pPr>
        <w:pStyle w:val="ListParagraph"/>
        <w:numPr>
          <w:ilvl w:val="1"/>
          <w:numId w:val="10"/>
        </w:numPr>
        <w:ind w:left="851" w:hanging="360"/>
        <w:jc w:val="both"/>
        <w:rPr>
          <w:rFonts w:cs="Calibri" w:cstheme="minorHAnsi"/>
        </w:rPr>
      </w:pPr>
      <w:r>
        <w:rPr>
          <w:rFonts w:cs="Calibri" w:cstheme="minorHAnsi"/>
        </w:rPr>
        <w:t>Dodavatel nicméně zajistí zastoupení Objednatele v rámci případného správního řízení a případného soudního řízení ve vztahu k porušení Nařízení. Dodavatel Objednateli zajistí a uhradí jí účelně vynaložené náklady právního zastoupení ve všech případných sporech včetně refundace případné správní sankce nebo náhrady škody, kdy toto právní zastoupení Dodavatel i zajistí. V případě uplatnění garance dle předcházející věty je Objednatel povinen poskytovat Dodavateli veškerou potřebnou součinnost, zejména, nikoli však výlučně respektovat právní zastoupení Dodavatelem resp. jím zvoleným zástupcem a využít všech možností procesní obrany v řízení před dozorovým úřadem a využít všech řádných i mimořádných opravných prostředků, jakož i obrany svých práv v soudním řízení; v opačném případě nemá právo na náhradu zastoupení ani náhrady škody dle předcházející věty. (Dále také jen „Záruka“).</w:t>
      </w:r>
    </w:p>
    <w:p>
      <w:pPr>
        <w:pStyle w:val="ListParagraph"/>
        <w:numPr>
          <w:ilvl w:val="1"/>
          <w:numId w:val="10"/>
        </w:numPr>
        <w:ind w:left="851" w:hanging="360"/>
        <w:jc w:val="both"/>
        <w:rPr>
          <w:rFonts w:cs="Calibri" w:cstheme="minorHAnsi"/>
          <w:b/>
          <w:b/>
        </w:rPr>
      </w:pPr>
      <w:r>
        <w:rPr>
          <w:rFonts w:cs="Calibri" w:cstheme="minorHAnsi"/>
        </w:rPr>
        <w:t xml:space="preserve">Právo Objednatele na Záruku dle tohoto článku zaniká v případě, že Objednatel neposkytuje Dodavateli potřebné informace dle této Smlouvy a/nebo neposkytuje Dodavateli potřebnou součinnost dle této Smlouvy a/nebo nevyužije všech možností procesní obrany dle čl. 5 této Smlouvy a/nebo je v prodlení s hrazením jakékoli části Ceny dle této Smlouvy. </w:t>
      </w:r>
    </w:p>
    <w:p>
      <w:pPr>
        <w:pStyle w:val="ListParagraph"/>
        <w:numPr>
          <w:ilvl w:val="1"/>
          <w:numId w:val="10"/>
        </w:numPr>
        <w:ind w:left="851" w:hanging="360"/>
        <w:jc w:val="both"/>
        <w:rPr>
          <w:rFonts w:cs="Calibri" w:cstheme="minorHAnsi"/>
        </w:rPr>
      </w:pPr>
      <w:r>
        <w:rPr>
          <w:rFonts w:cs="Calibri" w:cstheme="minorHAnsi"/>
        </w:rPr>
        <w:t xml:space="preserve">Dodavatel je povinen s Pověřencem smluvně zajistit řádné plnění povinností Pověřence dle této Smlouvy. </w:t>
      </w:r>
    </w:p>
    <w:p>
      <w:pPr>
        <w:pStyle w:val="ListParagraph"/>
        <w:ind w:left="792" w:hanging="0"/>
        <w:jc w:val="both"/>
        <w:rPr>
          <w:rFonts w:cs="Calibri" w:cstheme="minorHAnsi"/>
          <w:b/>
          <w:b/>
        </w:rPr>
      </w:pPr>
      <w:r>
        <w:rPr>
          <w:rFonts w:cs="Calibri" w:cstheme="minorHAnsi"/>
          <w:b/>
        </w:rPr>
      </w:r>
    </w:p>
    <w:p>
      <w:pPr>
        <w:pStyle w:val="ListParagraph"/>
        <w:numPr>
          <w:ilvl w:val="0"/>
          <w:numId w:val="10"/>
        </w:numPr>
        <w:rPr>
          <w:rFonts w:cs="Calibri" w:cstheme="minorHAnsi"/>
        </w:rPr>
      </w:pPr>
      <w:r>
        <w:rPr>
          <w:rFonts w:cs="Calibri" w:cstheme="minorHAnsi"/>
          <w:b/>
        </w:rPr>
        <w:t>Trvání smlouvy a možnosti jejího ukončení</w:t>
      </w:r>
    </w:p>
    <w:p>
      <w:pPr>
        <w:pStyle w:val="ListParagraph"/>
        <w:numPr>
          <w:ilvl w:val="1"/>
          <w:numId w:val="10"/>
        </w:numPr>
        <w:ind w:left="851" w:hanging="360"/>
        <w:jc w:val="both"/>
        <w:rPr>
          <w:rFonts w:cs="Calibri" w:cstheme="minorHAnsi"/>
        </w:rPr>
      </w:pPr>
      <w:r>
        <w:rPr>
          <w:rFonts w:cs="Calibri" w:cstheme="minorHAnsi"/>
        </w:rPr>
        <w:t xml:space="preserve">Tato smlouva je uzavřena na dobu určitou, a to 48 kalendářních měsíců počínaje dnem jejího uzavření.  </w:t>
      </w:r>
    </w:p>
    <w:p>
      <w:pPr>
        <w:pStyle w:val="ListParagraph"/>
        <w:numPr>
          <w:ilvl w:val="1"/>
          <w:numId w:val="10"/>
        </w:numPr>
        <w:ind w:left="851" w:hanging="360"/>
        <w:jc w:val="both"/>
        <w:rPr>
          <w:rFonts w:cs="Calibri" w:cstheme="minorHAnsi"/>
        </w:rPr>
      </w:pPr>
      <w:r>
        <w:rPr>
          <w:rFonts w:cs="Calibri" w:cstheme="minorHAnsi"/>
        </w:rPr>
        <w:t xml:space="preserve">V případě, že nedojde k předčasnému ukončení trvání této Smlouvy ve lhůtě 6 kalendářních měsíců přede dnem jejího předpokládaného ukončení, prodlužuje se tato Smlouva o dobu, na kterou byla původně sjednána. Prodloužení trvání smlouvy je možné i opakovaně. Cena za plnění dle této Smlouvy bude v případě prodloužení trvání Smlouvy určena dle aktuálního ceníku Dodavatele, s přihlédnutím k případné množstevní slevě vypočtené způsobem dle čl. 3 této Smlouvy. </w:t>
      </w:r>
    </w:p>
    <w:p>
      <w:pPr>
        <w:pStyle w:val="ListParagraph"/>
        <w:numPr>
          <w:ilvl w:val="1"/>
          <w:numId w:val="10"/>
        </w:numPr>
        <w:ind w:left="851" w:hanging="360"/>
        <w:jc w:val="both"/>
        <w:rPr>
          <w:rFonts w:cs="Calibri" w:cstheme="minorHAnsi"/>
        </w:rPr>
      </w:pPr>
      <w:r>
        <w:rPr>
          <w:rFonts w:cs="Calibri" w:cstheme="minorHAnsi"/>
        </w:rPr>
        <w:t xml:space="preserve">Tuto smlouvu je možné ukončit písemnou dohodou smluvních stran a výpovědí. </w:t>
      </w:r>
    </w:p>
    <w:p>
      <w:pPr>
        <w:pStyle w:val="ListParagraph"/>
        <w:numPr>
          <w:ilvl w:val="1"/>
          <w:numId w:val="10"/>
        </w:numPr>
        <w:ind w:left="851" w:hanging="360"/>
        <w:jc w:val="both"/>
        <w:rPr>
          <w:rFonts w:cs="Calibri" w:cstheme="minorHAnsi"/>
          <w:b/>
          <w:b/>
        </w:rPr>
      </w:pPr>
      <w:r>
        <w:rPr>
          <w:rFonts w:cs="Calibri" w:cstheme="minorHAnsi"/>
        </w:rPr>
        <w:t xml:space="preserve">Dodavatel je oprávněn tuto smlouvu vypovědět s 2 měsíční výpovědní lhůtou v případě, že </w:t>
      </w:r>
    </w:p>
    <w:p>
      <w:pPr>
        <w:pStyle w:val="ListParagraph"/>
        <w:numPr>
          <w:ilvl w:val="0"/>
          <w:numId w:val="6"/>
        </w:numPr>
        <w:jc w:val="both"/>
        <w:rPr>
          <w:rFonts w:cs="Calibri" w:cstheme="minorHAnsi"/>
          <w:b/>
          <w:b/>
        </w:rPr>
      </w:pPr>
      <w:r>
        <w:rPr>
          <w:rFonts w:cs="Calibri" w:cstheme="minorHAnsi"/>
        </w:rPr>
        <w:t xml:space="preserve">Objednatel neposkytuje Dodavateli potřebné informace dle této Smlouvy déle než 2 měsíce a/nebo </w:t>
      </w:r>
    </w:p>
    <w:p>
      <w:pPr>
        <w:pStyle w:val="ListParagraph"/>
        <w:numPr>
          <w:ilvl w:val="0"/>
          <w:numId w:val="6"/>
        </w:numPr>
        <w:jc w:val="both"/>
        <w:rPr>
          <w:rFonts w:cs="Calibri" w:cstheme="minorHAnsi"/>
          <w:b/>
          <w:b/>
        </w:rPr>
      </w:pPr>
      <w:r>
        <w:rPr>
          <w:rFonts w:cs="Calibri" w:cstheme="minorHAnsi"/>
        </w:rPr>
        <w:t>neposkytuje Dodavateli potřebnou součinnost dle této Smlouvy déle než 2 měsíců a/nebo</w:t>
      </w:r>
    </w:p>
    <w:p>
      <w:pPr>
        <w:pStyle w:val="ListParagraph"/>
        <w:numPr>
          <w:ilvl w:val="0"/>
          <w:numId w:val="6"/>
        </w:numPr>
        <w:jc w:val="both"/>
        <w:rPr>
          <w:rFonts w:cs="Calibri" w:cstheme="minorHAnsi"/>
          <w:b/>
          <w:b/>
        </w:rPr>
      </w:pPr>
      <w:r>
        <w:rPr>
          <w:rFonts w:cs="Calibri" w:cstheme="minorHAnsi"/>
        </w:rPr>
        <w:t>nevyužije všech možností procesní obrany dle čl. 5 této Smlouvy a/nebo</w:t>
      </w:r>
    </w:p>
    <w:p>
      <w:pPr>
        <w:pStyle w:val="ListParagraph"/>
        <w:numPr>
          <w:ilvl w:val="0"/>
          <w:numId w:val="6"/>
        </w:numPr>
        <w:jc w:val="both"/>
        <w:rPr>
          <w:rFonts w:cs="Calibri" w:cstheme="minorHAnsi"/>
        </w:rPr>
      </w:pPr>
      <w:r>
        <w:rPr>
          <w:rFonts w:cs="Calibri" w:cstheme="minorHAnsi"/>
        </w:rPr>
        <w:t xml:space="preserve">je v prodlení s hrazením jakékoli části Ceny dle této Smlouvy delším 2 měsíce i po předchozím upozornění. </w:t>
      </w:r>
    </w:p>
    <w:p>
      <w:pPr>
        <w:pStyle w:val="ListParagraph"/>
        <w:numPr>
          <w:ilvl w:val="1"/>
          <w:numId w:val="10"/>
        </w:numPr>
        <w:ind w:left="567" w:hanging="360"/>
        <w:jc w:val="both"/>
        <w:rPr>
          <w:rFonts w:cs="Calibri" w:cstheme="minorHAnsi"/>
        </w:rPr>
      </w:pPr>
      <w:r>
        <w:rPr>
          <w:rFonts w:cs="Calibri" w:cstheme="minorHAnsi"/>
        </w:rPr>
        <w:t xml:space="preserve">Objednatel je oprávněn tuto Smlouvu vypovědět s 1 měsíční výpovědní lhůtou v případě, že </w:t>
      </w:r>
    </w:p>
    <w:p>
      <w:pPr>
        <w:pStyle w:val="ListParagraph"/>
        <w:numPr>
          <w:ilvl w:val="0"/>
          <w:numId w:val="7"/>
        </w:numPr>
        <w:jc w:val="both"/>
        <w:rPr>
          <w:rFonts w:cs="Calibri" w:cstheme="minorHAnsi"/>
        </w:rPr>
      </w:pPr>
      <w:r>
        <w:rPr>
          <w:rFonts w:cs="Calibri" w:cstheme="minorHAnsi"/>
        </w:rPr>
        <w:t>Dodavatel opakovaně porušuje lhůty pro plnění úkolů Pověřence dle platné právní úpravy a nezjedná nápravu ani v náhradní lhůtě 1 měsíce;</w:t>
      </w:r>
    </w:p>
    <w:p>
      <w:pPr>
        <w:pStyle w:val="ListParagraph"/>
        <w:numPr>
          <w:ilvl w:val="0"/>
          <w:numId w:val="7"/>
        </w:numPr>
        <w:jc w:val="both"/>
        <w:rPr>
          <w:rFonts w:cs="Calibri" w:cstheme="minorHAnsi"/>
        </w:rPr>
      </w:pPr>
      <w:r>
        <w:rPr>
          <w:rFonts w:cs="Calibri" w:cstheme="minorHAnsi"/>
        </w:rPr>
        <w:t>Pověřenec uvedený v této Smlouvě ztratil předpoklady pro výkon funkce pověřence nebo je dána dlouhodobá neschopnost Pověřence vykonávat svou funkci a zároveň Dodavatel nezajistí jeho náhradu ani v náhradní 14ti denní lhůtě ode dne výzvy Objednatele k nápravě;</w:t>
      </w:r>
    </w:p>
    <w:p>
      <w:pPr>
        <w:pStyle w:val="ListParagraph"/>
        <w:numPr>
          <w:ilvl w:val="0"/>
          <w:numId w:val="7"/>
        </w:numPr>
        <w:jc w:val="both"/>
        <w:rPr>
          <w:rFonts w:cs="Calibri" w:cstheme="minorHAnsi"/>
        </w:rPr>
      </w:pPr>
      <w:r>
        <w:rPr>
          <w:rFonts w:cs="Calibri" w:cstheme="minorHAnsi"/>
        </w:rPr>
        <w:t xml:space="preserve">Dodavatel neposkytne Objednateli poradenství dle čl. 1.2. a/nebo služby čl.1.3. této Smlouvy ani v náhradní lhůtě 14ti dní ode dne výzvy Objednatele Dodavateli ke zjednání nápravy. </w:t>
      </w:r>
    </w:p>
    <w:p>
      <w:pPr>
        <w:pStyle w:val="ListParagraph"/>
        <w:numPr>
          <w:ilvl w:val="0"/>
          <w:numId w:val="9"/>
        </w:numPr>
        <w:ind w:left="709" w:hanging="360"/>
        <w:jc w:val="both"/>
        <w:rPr>
          <w:rFonts w:cs="Calibri" w:cstheme="minorHAnsi"/>
        </w:rPr>
      </w:pPr>
      <w:r>
        <w:rPr>
          <w:rFonts w:cs="Calibri" w:cstheme="minorHAnsi"/>
        </w:rPr>
        <w:t xml:space="preserve">V případě předčasného ukončení této Smlouvy z důvodů na straně Objednatele má Dodavatel právo na doplatek Ceny (tj. Ceny po odečtení již uhrazených splátek). Doplatek Ceny je splatný na základě faktury Dodavatele se splatností 14 dní. </w:t>
      </w:r>
    </w:p>
    <w:p>
      <w:pPr>
        <w:pStyle w:val="ListParagraph"/>
        <w:numPr>
          <w:ilvl w:val="0"/>
          <w:numId w:val="9"/>
        </w:numPr>
        <w:ind w:left="709" w:hanging="360"/>
        <w:rPr>
          <w:rFonts w:cs="Calibri" w:cstheme="minorHAnsi"/>
        </w:rPr>
      </w:pPr>
      <w:r>
        <w:rPr>
          <w:rFonts w:cs="Calibri" w:cstheme="minorHAnsi"/>
        </w:rPr>
        <w:t>V případě takové změny legislativy, která by vedla ke zrušení povinnosti pro činnost   pověřence dle nařízení Evropského parlamentu a Rady č. 2016/679 – objednatelného nařízení o ochraně osobních údajů, bude tato Smlouva ukončena ke dni nabytí účinnosti takové změny. Výše uvedené platí přiměřeně i pro případ, že nová legislativa povede ke snížení rozsahu povinností objednatele, tj. pokud se smluvní strany v takovém případě nedohodnou v přiměřené lhůtě na dodatku ke smlouvě, je objednatel oprávněna tuto smlouvu vypovědět s 1 měsíční výpovědní lhůtou.</w:t>
      </w:r>
    </w:p>
    <w:p>
      <w:pPr>
        <w:pStyle w:val="ListParagraph"/>
        <w:ind w:left="709" w:hanging="0"/>
        <w:jc w:val="both"/>
        <w:rPr>
          <w:rFonts w:cs="Calibri" w:cstheme="minorHAnsi"/>
        </w:rPr>
      </w:pPr>
      <w:r>
        <w:rPr>
          <w:rFonts w:cs="Calibri" w:cstheme="minorHAnsi"/>
        </w:rPr>
      </w:r>
    </w:p>
    <w:p>
      <w:pPr>
        <w:pStyle w:val="ListParagraph"/>
        <w:ind w:left="792" w:hanging="0"/>
        <w:rPr>
          <w:rFonts w:cs="Calibri" w:cstheme="minorHAnsi"/>
        </w:rPr>
      </w:pPr>
      <w:r>
        <w:rPr>
          <w:rFonts w:cs="Calibri" w:cstheme="minorHAnsi"/>
        </w:rPr>
      </w:r>
    </w:p>
    <w:p>
      <w:pPr>
        <w:pStyle w:val="ListParagraph"/>
        <w:numPr>
          <w:ilvl w:val="0"/>
          <w:numId w:val="10"/>
        </w:numPr>
        <w:rPr>
          <w:rFonts w:cs="Calibri" w:cstheme="minorHAnsi"/>
          <w:b/>
          <w:b/>
        </w:rPr>
      </w:pPr>
      <w:r>
        <w:rPr>
          <w:rFonts w:cs="Calibri" w:cstheme="minorHAnsi"/>
          <w:b/>
        </w:rPr>
        <w:t>Ochrana nezávislosti Pověřence, ochrana důvěrných údajů, zásada mlčenlivosti</w:t>
      </w:r>
    </w:p>
    <w:p>
      <w:pPr>
        <w:pStyle w:val="ListParagraph"/>
        <w:numPr>
          <w:ilvl w:val="1"/>
          <w:numId w:val="10"/>
        </w:numPr>
        <w:ind w:left="709" w:hanging="360"/>
        <w:jc w:val="both"/>
        <w:rPr>
          <w:rFonts w:cs="Calibri" w:cstheme="minorHAnsi"/>
        </w:rPr>
      </w:pPr>
      <w:r>
        <w:rPr>
          <w:rFonts w:cs="Calibri" w:cstheme="minorHAnsi"/>
        </w:rPr>
        <w:t xml:space="preserve">Ukončení smlouvy ze strany Objednatele nesmí zasahovat do nezávislosti Dodavatele resp. Pověřence; k ukončení Smlouvy ze strany Objednatele nemůže dojít proto, že Pověřenec vykonává svou činnost Pověřence nezávisle, například za to, že zastává jiný názor než Objednatel, nebo že kontaktoval dozorující úřad apod. Z téhož důvodu nemůže dojít ke snížení Ceny dle této Smlouvy. </w:t>
      </w:r>
    </w:p>
    <w:p>
      <w:pPr>
        <w:pStyle w:val="ListParagraph"/>
        <w:numPr>
          <w:ilvl w:val="1"/>
          <w:numId w:val="10"/>
        </w:numPr>
        <w:ind w:left="709" w:hanging="360"/>
        <w:jc w:val="both"/>
        <w:rPr>
          <w:rFonts w:cs="Calibri" w:cstheme="minorHAnsi"/>
        </w:rPr>
      </w:pPr>
      <w:r>
        <w:rPr>
          <w:rFonts w:cs="Calibri" w:cstheme="minorHAnsi"/>
        </w:rPr>
        <w:t xml:space="preserve">Objednatel, Pověřenec i Dodavatel musí aktivně předcházet vzniku střetu zájmů Pověřence a zajišťovat ve smyslu platné právní úpravy jeho nezávislost. </w:t>
      </w:r>
    </w:p>
    <w:p>
      <w:pPr>
        <w:pStyle w:val="ListParagraph"/>
        <w:numPr>
          <w:ilvl w:val="1"/>
          <w:numId w:val="10"/>
        </w:numPr>
        <w:ind w:left="709" w:hanging="360"/>
        <w:jc w:val="both"/>
        <w:rPr>
          <w:rFonts w:cs="Calibri" w:cstheme="minorHAnsi"/>
        </w:rPr>
      </w:pPr>
      <w:r>
        <w:rPr>
          <w:rFonts w:cs="Calibri" w:cstheme="minorHAnsi"/>
        </w:rPr>
        <w:t xml:space="preserve">Objednatel je povinen respektovat důvěrnost informací sdělených Pověřenci subjektem údajů a není oprávněn po něm požadovat jejich zpřístupnění. </w:t>
      </w:r>
    </w:p>
    <w:p>
      <w:pPr>
        <w:pStyle w:val="ListParagraph"/>
        <w:numPr>
          <w:ilvl w:val="1"/>
          <w:numId w:val="10"/>
        </w:numPr>
        <w:ind w:left="709" w:hanging="360"/>
        <w:jc w:val="both"/>
        <w:rPr>
          <w:rFonts w:cs="Calibri" w:cstheme="minorHAnsi"/>
        </w:rPr>
      </w:pPr>
      <w:r>
        <w:rPr>
          <w:rFonts w:cs="Calibri" w:cstheme="minorHAnsi"/>
        </w:rPr>
        <w:t>Pověřenec je vázán v souvislosti s plněním svých úkonů tajemstvím resp. důvěrností, a to v souladu s právem EU a ČR (čl. 38 odst. 5 Nařízení). Pověřenec i Dodavatel se zavazuje zachovávat mlčenlivost o všech osobních údajích, o kterých se dozví v souvislosti s výkonem své funkce, a o všech bezpečnostních opatřeních, jejichž vyzrazení by ohrozilo zabezpečení osobních údajů.</w:t>
      </w:r>
    </w:p>
    <w:p>
      <w:pPr>
        <w:pStyle w:val="ListParagraph"/>
        <w:numPr>
          <w:ilvl w:val="1"/>
          <w:numId w:val="10"/>
        </w:numPr>
        <w:ind w:left="709" w:hanging="360"/>
        <w:jc w:val="both"/>
        <w:rPr>
          <w:rFonts w:cs="Calibri" w:cstheme="minorHAnsi"/>
        </w:rPr>
      </w:pPr>
      <w:r>
        <w:rPr>
          <w:rFonts w:cs="Calibri" w:cstheme="minorHAnsi"/>
        </w:rPr>
        <w:t xml:space="preserve">Pověřenec resp. Dodavatel resp. Objednatel jsou každý povinni oznámit druhé straně možný střet zájmů Pověřence bez zbytečného odkladu od okamžiku, kdy se o rozhodných skutečnostech dozvěděl. </w:t>
      </w:r>
    </w:p>
    <w:p>
      <w:pPr>
        <w:pStyle w:val="ListParagraph"/>
        <w:ind w:left="709" w:hanging="0"/>
        <w:rPr>
          <w:rFonts w:cs="Calibri" w:cstheme="minorHAnsi"/>
        </w:rPr>
      </w:pPr>
      <w:r>
        <w:rPr>
          <w:rFonts w:cs="Calibri" w:cstheme="minorHAnsi"/>
        </w:rPr>
      </w:r>
    </w:p>
    <w:p>
      <w:pPr>
        <w:pStyle w:val="ListParagraph"/>
        <w:numPr>
          <w:ilvl w:val="0"/>
          <w:numId w:val="10"/>
        </w:numPr>
        <w:rPr>
          <w:rFonts w:cs="Calibri" w:cstheme="minorHAnsi"/>
          <w:b/>
          <w:b/>
        </w:rPr>
      </w:pPr>
      <w:r>
        <w:rPr>
          <w:rFonts w:cs="Calibri" w:cstheme="minorHAnsi"/>
          <w:b/>
        </w:rPr>
        <w:t>Závěrečná ustanovení</w:t>
      </w:r>
    </w:p>
    <w:p>
      <w:pPr>
        <w:pStyle w:val="ListParagraph"/>
        <w:numPr>
          <w:ilvl w:val="1"/>
          <w:numId w:val="10"/>
        </w:numPr>
        <w:ind w:left="709" w:hanging="283"/>
        <w:jc w:val="both"/>
        <w:rPr>
          <w:rFonts w:cs="Calibri" w:cstheme="minorHAnsi"/>
        </w:rPr>
      </w:pPr>
      <w:r>
        <w:rPr>
          <w:rFonts w:cs="Calibri" w:cstheme="minorHAnsi"/>
        </w:rPr>
        <w:t xml:space="preserve">Smluvní strany se ve smyslu § 2898 OZ dohodly na limitaci odpovědnosti Dodavatele k náhradě újmy vzniklé v souvislosti se Smlouvou do výše Ceny uhrazené dle Smlouvy, a to vyjma nákladů na právní zastoupení, vyjma újmy na přirozených právech Objednatele, újmy způsobené hrubou nedbalostí či úmyslně. Tato limitace se uplatní i pro případné správní sankce nebo náhrady škody ve smyslu čl. 6. této Smlouvy. </w:t>
      </w:r>
    </w:p>
    <w:p>
      <w:pPr>
        <w:pStyle w:val="ListParagraph"/>
        <w:numPr>
          <w:ilvl w:val="1"/>
          <w:numId w:val="10"/>
        </w:numPr>
        <w:ind w:left="709" w:hanging="360"/>
        <w:jc w:val="both"/>
        <w:rPr>
          <w:rFonts w:cs="Calibri" w:cstheme="minorHAnsi"/>
        </w:rPr>
      </w:pPr>
      <w:r>
        <w:rPr>
          <w:rFonts w:cs="Calibri" w:cstheme="minorHAnsi"/>
        </w:rPr>
        <w:t xml:space="preserve">Objednatel není oprávněn bez předchozího písemného souhlasu Dodavatele postoupit žádnou svoji pohledávku vůči Dodavateli žádné třetí osobě, ani ji jednostranně započíst nebo zastavit. </w:t>
      </w:r>
    </w:p>
    <w:p>
      <w:pPr>
        <w:pStyle w:val="ListParagraph"/>
        <w:numPr>
          <w:ilvl w:val="1"/>
          <w:numId w:val="10"/>
        </w:numPr>
        <w:ind w:left="709" w:hanging="360"/>
        <w:jc w:val="both"/>
        <w:rPr>
          <w:rFonts w:cs="Calibri" w:cstheme="minorHAnsi"/>
        </w:rPr>
      </w:pPr>
      <w:r>
        <w:rPr>
          <w:rFonts w:cs="Calibri" w:cstheme="minorHAnsi"/>
        </w:rPr>
        <w:t xml:space="preserve">Jestliže kterákoli ze Smluvních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 </w:t>
      </w:r>
    </w:p>
    <w:p>
      <w:pPr>
        <w:pStyle w:val="ListParagraph"/>
        <w:numPr>
          <w:ilvl w:val="1"/>
          <w:numId w:val="10"/>
        </w:numPr>
        <w:ind w:left="709" w:hanging="360"/>
        <w:jc w:val="both"/>
        <w:rPr>
          <w:rFonts w:cs="Calibri" w:cstheme="minorHAnsi"/>
        </w:rPr>
      </w:pPr>
      <w:r>
        <w:rPr>
          <w:rFonts w:cs="Calibri" w:cstheme="minorHAnsi"/>
        </w:rPr>
        <w:t xml:space="preserve">Neplatnost jednotlivých ustanovení této Smlouvy nebo jejich postavení mimo účinnost nemá vliv na platnost, účinnost a odporovatelnost ostatních ustanovení. </w:t>
      </w:r>
    </w:p>
    <w:p>
      <w:pPr>
        <w:pStyle w:val="ListParagraph"/>
        <w:numPr>
          <w:ilvl w:val="1"/>
          <w:numId w:val="10"/>
        </w:numPr>
        <w:ind w:left="709" w:hanging="360"/>
        <w:jc w:val="both"/>
        <w:rPr>
          <w:rFonts w:cs="Calibri" w:cstheme="minorHAnsi"/>
        </w:rPr>
      </w:pPr>
      <w:r>
        <w:rPr>
          <w:rFonts w:cs="Calibri" w:cstheme="minorHAnsi"/>
        </w:rPr>
        <w:t xml:space="preserve">Plnění Dodavatele poskytnuté před nabytím účinnosti této Smlouvy Objednateli se považuje za plnění dle této Smlouvy a Dodavateli za ně náleží cena určená ve výši stanovené v čl. 3 této Smlouvy, která bude hrazena na základě měsíčních faktur Dodavatele se splatností 14 dní. </w:t>
      </w:r>
    </w:p>
    <w:p>
      <w:pPr>
        <w:pStyle w:val="ListParagraph"/>
        <w:numPr>
          <w:ilvl w:val="1"/>
          <w:numId w:val="10"/>
        </w:numPr>
        <w:ind w:left="709" w:hanging="360"/>
        <w:jc w:val="both"/>
        <w:rPr>
          <w:rFonts w:cs="Calibri" w:cstheme="minorHAnsi"/>
        </w:rPr>
      </w:pPr>
      <w:r>
        <w:rPr>
          <w:rFonts w:cs="Calibri" w:cstheme="minorHAnsi"/>
        </w:rPr>
        <w:t>Tato smlouva se řídí právem České republiky a případné spory z ní budou řešeny před obecnými soudy České republiky. Smluvní strany se v souladu s § 89a zákona č. 99/1963 Sb., občanského soudního řádu, shodly na místní příslušnosti tzv. obecného soudu Dodavatele.</w:t>
      </w:r>
    </w:p>
    <w:p>
      <w:pPr>
        <w:pStyle w:val="ListParagraph"/>
        <w:widowControl w:val="false"/>
        <w:numPr>
          <w:ilvl w:val="1"/>
          <w:numId w:val="10"/>
        </w:numPr>
        <w:spacing w:lineRule="auto" w:line="264" w:before="120" w:after="60"/>
        <w:ind w:left="709" w:hanging="360"/>
        <w:contextualSpacing/>
        <w:jc w:val="both"/>
        <w:outlineLvl w:val="1"/>
        <w:rPr>
          <w:rFonts w:cs="Calibri" w:cstheme="minorHAnsi"/>
        </w:rPr>
      </w:pPr>
      <w:r>
        <w:rPr>
          <w:rFonts w:cs="Calibri" w:cstheme="minorHAnsi"/>
        </w:rPr>
        <w:t xml:space="preserve">Tato smlouva je vyhotovena ve třech vyhotoveních z nichž po jednom obdrží Dodavatel a po dvou Objednatel.  </w:t>
      </w:r>
    </w:p>
    <w:p>
      <w:pPr>
        <w:pStyle w:val="ListParagraph"/>
        <w:widowControl w:val="false"/>
        <w:numPr>
          <w:ilvl w:val="1"/>
          <w:numId w:val="10"/>
        </w:numPr>
        <w:spacing w:lineRule="auto" w:line="264" w:before="120" w:after="60"/>
        <w:ind w:left="709" w:hanging="360"/>
        <w:contextualSpacing/>
        <w:jc w:val="both"/>
        <w:outlineLvl w:val="1"/>
        <w:rPr>
          <w:rFonts w:cs="Calibri" w:cstheme="minorHAnsi"/>
        </w:rPr>
      </w:pPr>
      <w:r>
        <w:rPr>
          <w:rFonts w:cs="Calibri" w:cstheme="minorHAnsi"/>
        </w:rPr>
        <w:t xml:space="preserve">Smluvní strany výslovně potvrzují, že ujednání této Smlouvy jsou výsledkem jednání Smluvních stran a každá ze Smluvních stran měla příležitost ovlivnit obsah této Smlouvy. </w:t>
      </w:r>
    </w:p>
    <w:p>
      <w:pPr>
        <w:pStyle w:val="ListParagraph"/>
        <w:widowControl w:val="false"/>
        <w:numPr>
          <w:ilvl w:val="0"/>
          <w:numId w:val="0"/>
        </w:numPr>
        <w:spacing w:lineRule="auto" w:line="264" w:before="120" w:after="60"/>
        <w:ind w:left="709" w:hanging="0"/>
        <w:contextualSpacing/>
        <w:jc w:val="both"/>
        <w:outlineLvl w:val="1"/>
        <w:rPr>
          <w:rFonts w:cs="Calibri" w:cstheme="minorHAnsi"/>
        </w:rPr>
      </w:pPr>
      <w:r>
        <w:rPr>
          <w:rFonts w:cs="Calibri" w:cstheme="minorHAnsi"/>
        </w:rPr>
        <w:t>Tato smlouva může být měněna nebo zrušena pouze formou písemných číslovaných dodatků podepsaných oběma Smluvními stranami. To se týká i prominutí kteréhokoliv dluhu z této Smlouvy.</w:t>
      </w:r>
    </w:p>
    <w:p>
      <w:pPr>
        <w:pStyle w:val="ListParagraph"/>
        <w:widowControl w:val="false"/>
        <w:numPr>
          <w:ilvl w:val="0"/>
          <w:numId w:val="0"/>
        </w:numPr>
        <w:spacing w:lineRule="auto" w:line="264" w:before="120" w:after="60"/>
        <w:ind w:left="709" w:hanging="0"/>
        <w:contextualSpacing/>
        <w:jc w:val="both"/>
        <w:outlineLvl w:val="1"/>
        <w:rPr>
          <w:rFonts w:cs="Calibri" w:cstheme="minorHAnsi"/>
        </w:rPr>
      </w:pPr>
      <w:r>
        <w:rPr>
          <w:rFonts w:cs="Calibri" w:cstheme="minorHAnsi"/>
        </w:rPr>
        <w:t>Tato Smlouva nabývá platnosti a účinnosti dnem jejího podpisu oběma Smluvními stranami.</w:t>
      </w:r>
    </w:p>
    <w:p>
      <w:pPr>
        <w:pStyle w:val="ListParagraph"/>
        <w:widowControl w:val="false"/>
        <w:numPr>
          <w:ilvl w:val="1"/>
          <w:numId w:val="10"/>
        </w:numPr>
        <w:spacing w:lineRule="auto" w:line="264" w:before="120" w:after="60"/>
        <w:ind w:left="709" w:hanging="360"/>
        <w:contextualSpacing/>
        <w:jc w:val="both"/>
        <w:outlineLvl w:val="1"/>
        <w:rPr>
          <w:rFonts w:cs="Calibri" w:cstheme="minorHAnsi"/>
        </w:rPr>
      </w:pPr>
      <w:r>
        <w:rPr>
          <w:rFonts w:cs="Calibri" w:cstheme="minorHAnsi"/>
        </w:rPr>
        <w:t>Smluvní strany si smlouvu přečetly, jejímu obsahu rozumí, prohlašují, že tuto Smlouvu sepsaly dle své vážné, pravé a svobodné vůle, a že smlouva byla uzavřena po vzájemném projednání. Na důkaz toho připojují své vlastnoruční podpisy.</w:t>
      </w:r>
    </w:p>
    <w:p>
      <w:pPr>
        <w:pStyle w:val="Normal"/>
        <w:widowControl w:val="false"/>
        <w:numPr>
          <w:ilvl w:val="0"/>
          <w:numId w:val="0"/>
        </w:numPr>
        <w:spacing w:lineRule="auto" w:line="264" w:before="120" w:after="60"/>
        <w:ind w:left="360" w:hanging="0"/>
        <w:jc w:val="both"/>
        <w:outlineLvl w:val="1"/>
        <w:rPr>
          <w:rFonts w:cs="Calibri" w:cstheme="minorHAnsi"/>
        </w:rPr>
      </w:pPr>
      <w:r>
        <w:rPr>
          <w:rFonts w:cs="Calibri" w:cstheme="minorHAnsi"/>
        </w:rPr>
      </w:r>
    </w:p>
    <w:p>
      <w:pPr>
        <w:pStyle w:val="Normal"/>
        <w:widowControl w:val="false"/>
        <w:numPr>
          <w:ilvl w:val="0"/>
          <w:numId w:val="0"/>
        </w:numPr>
        <w:spacing w:lineRule="auto" w:line="264" w:before="120" w:after="60"/>
        <w:ind w:left="360" w:hanging="0"/>
        <w:jc w:val="both"/>
        <w:outlineLvl w:val="1"/>
        <w:rPr>
          <w:rFonts w:cs="Calibri" w:cstheme="minorHAnsi"/>
        </w:rPr>
      </w:pPr>
      <w:r>
        <w:rPr>
          <w:rFonts w:cs="Calibri" w:cstheme="minorHAnsi"/>
        </w:rPr>
      </w:r>
    </w:p>
    <w:p>
      <w:pPr>
        <w:pStyle w:val="Normal"/>
        <w:widowControl w:val="false"/>
        <w:numPr>
          <w:ilvl w:val="0"/>
          <w:numId w:val="0"/>
        </w:numPr>
        <w:spacing w:lineRule="auto" w:line="264" w:before="120" w:after="60"/>
        <w:ind w:left="360" w:hanging="0"/>
        <w:jc w:val="both"/>
        <w:outlineLvl w:val="1"/>
        <w:rPr/>
      </w:pPr>
      <w:r>
        <w:rPr>
          <w:rFonts w:cs="Calibri" w:cstheme="minorHAnsi"/>
        </w:rPr>
        <w:t xml:space="preserve">V Kouřimi </w:t>
      </w:r>
      <w:r>
        <w:rPr>
          <w:rFonts w:cs="Calibri" w:cstheme="minorHAnsi"/>
        </w:rPr>
        <w:t>24.5.2018</w:t>
      </w:r>
      <w:r>
        <w:rPr>
          <w:rFonts w:cs="Calibri" w:cstheme="minorHAnsi"/>
        </w:rPr>
        <w:t xml:space="preserve">                                                                                           V Praze </w:t>
      </w:r>
      <w:r>
        <w:rPr>
          <w:rFonts w:cs="Calibri" w:cstheme="minorHAnsi"/>
        </w:rPr>
        <w:t>25.5.2018</w:t>
      </w:r>
    </w:p>
    <w:p>
      <w:pPr>
        <w:pStyle w:val="Normal"/>
        <w:widowControl w:val="false"/>
        <w:numPr>
          <w:ilvl w:val="0"/>
          <w:numId w:val="0"/>
        </w:numPr>
        <w:spacing w:lineRule="auto" w:line="264" w:before="120" w:after="60"/>
        <w:ind w:left="360" w:hanging="0"/>
        <w:jc w:val="both"/>
        <w:outlineLvl w:val="1"/>
        <w:rPr>
          <w:rFonts w:cs="Calibri" w:cstheme="minorHAnsi"/>
        </w:rPr>
      </w:pPr>
      <w:r>
        <w:rPr>
          <w:rFonts w:cs="Calibri" w:cstheme="minorHAnsi"/>
        </w:rPr>
      </w:r>
    </w:p>
    <w:p>
      <w:pPr>
        <w:pStyle w:val="Normal"/>
        <w:widowControl w:val="false"/>
        <w:numPr>
          <w:ilvl w:val="0"/>
          <w:numId w:val="0"/>
        </w:numPr>
        <w:spacing w:lineRule="auto" w:line="264" w:before="120" w:after="60"/>
        <w:ind w:left="360" w:hanging="0"/>
        <w:jc w:val="both"/>
        <w:outlineLvl w:val="1"/>
        <w:rPr>
          <w:rFonts w:cs="Calibri" w:cstheme="minorHAnsi"/>
        </w:rPr>
      </w:pPr>
      <w:r>
        <w:rPr>
          <w:rFonts w:cs="Calibri" w:cstheme="minorHAnsi"/>
        </w:rPr>
      </w:r>
    </w:p>
    <w:p>
      <w:pPr>
        <w:pStyle w:val="Normal"/>
        <w:widowControl w:val="false"/>
        <w:numPr>
          <w:ilvl w:val="0"/>
          <w:numId w:val="0"/>
        </w:numPr>
        <w:spacing w:lineRule="auto" w:line="264" w:before="120" w:after="60"/>
        <w:ind w:left="360" w:hanging="0"/>
        <w:jc w:val="both"/>
        <w:outlineLvl w:val="1"/>
        <w:rPr>
          <w:rFonts w:cs="Calibri" w:cstheme="minorHAnsi"/>
        </w:rPr>
      </w:pPr>
      <w:r>
        <w:rPr>
          <w:rFonts w:cs="Calibri" w:cstheme="minorHAnsi"/>
        </w:rPr>
      </w:r>
      <w:bookmarkStart w:id="0" w:name="_GoBack"/>
      <w:bookmarkStart w:id="1" w:name="_GoBack"/>
      <w:bookmarkEnd w:id="1"/>
    </w:p>
    <w:p>
      <w:pPr>
        <w:pStyle w:val="Normal"/>
        <w:widowControl w:val="false"/>
        <w:numPr>
          <w:ilvl w:val="0"/>
          <w:numId w:val="0"/>
        </w:numPr>
        <w:spacing w:lineRule="auto" w:line="264" w:before="120" w:after="60"/>
        <w:ind w:left="360" w:hanging="0"/>
        <w:jc w:val="both"/>
        <w:outlineLvl w:val="1"/>
        <w:rPr>
          <w:rFonts w:cs="Calibri" w:cstheme="minorHAnsi"/>
        </w:rPr>
      </w:pPr>
      <w:r>
        <w:rPr>
          <w:rFonts w:cs="Calibri" w:cstheme="minorHAnsi"/>
        </w:rPr>
        <w:t xml:space="preserve"> …………………………………………</w:t>
      </w:r>
      <w:r>
        <w:rPr>
          <w:rFonts w:cs="Calibri" w:cstheme="minorHAnsi"/>
        </w:rPr>
        <w:t xml:space="preserve">..                                                                      …………………………………………..                                                                                                                  </w:t>
      </w:r>
    </w:p>
    <w:p>
      <w:pPr>
        <w:pStyle w:val="Normal"/>
        <w:widowControl w:val="false"/>
        <w:numPr>
          <w:ilvl w:val="0"/>
          <w:numId w:val="0"/>
        </w:numPr>
        <w:spacing w:lineRule="auto" w:line="264" w:before="120" w:after="60"/>
        <w:jc w:val="both"/>
        <w:outlineLvl w:val="1"/>
        <w:rPr>
          <w:rFonts w:cs="Calibri" w:cstheme="minorHAnsi"/>
        </w:rPr>
      </w:pPr>
      <w:r>
        <w:rPr>
          <w:rFonts w:cs="Calibri" w:cstheme="minorHAnsi"/>
        </w:rPr>
        <w:t xml:space="preserve">             </w:t>
      </w:r>
      <w:r>
        <w:rPr>
          <w:rFonts w:cs="Calibri" w:cstheme="minorHAnsi"/>
        </w:rPr>
        <w:t>Mgr. Jana Ležalová                                                                                JUDr. Jaroslav Kostohryz</w:t>
      </w:r>
    </w:p>
    <w:p>
      <w:pPr>
        <w:pStyle w:val="Normal"/>
        <w:widowControl w:val="false"/>
        <w:numPr>
          <w:ilvl w:val="0"/>
          <w:numId w:val="0"/>
        </w:numPr>
        <w:spacing w:lineRule="auto" w:line="264" w:before="120" w:after="60"/>
        <w:jc w:val="both"/>
        <w:outlineLvl w:val="1"/>
        <w:rPr/>
      </w:pPr>
      <w:r>
        <w:rPr>
          <w:rFonts w:cs="Calibri" w:cstheme="minorHAnsi"/>
        </w:rPr>
        <w:t xml:space="preserve">                </w:t>
      </w:r>
      <w:r>
        <w:rPr>
          <w:rFonts w:cs="Calibri" w:cstheme="minorHAnsi"/>
        </w:rPr>
        <w:t>Ředitelka školy                                                                                    jednatel, Gepard services s.r.o.</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Segoe UI">
    <w:charset w:val="ee"/>
    <w:family w:val="roman"/>
    <w:pitch w:val="variable"/>
  </w:font>
  <w:font w:name="Liberation Sans">
    <w:altName w:val="Arial"/>
    <w:charset w:val="ee"/>
    <w:family w:val="swiss"/>
    <w:pitch w:val="variable"/>
  </w:font>
  <w:font w:name="URW DIN">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decimal"/>
      <w:lvlText w:val="%1."/>
      <w:lvlJc w:val="left"/>
      <w:pPr>
        <w:ind w:left="0" w:hanging="0"/>
      </w:pPr>
    </w:lvl>
    <w:lvl w:ilvl="1">
      <w:start w:val="1"/>
      <w:pStyle w:val="Nadpis2"/>
      <w:numFmt w:val="decimal"/>
      <w:lvlText w:val="%1.%2."/>
      <w:lvlJc w:val="left"/>
      <w:pPr>
        <w:ind w:left="0" w:hanging="0"/>
      </w:pPr>
    </w:lvl>
    <w:lvl w:ilvl="2">
      <w:start w:val="1"/>
      <w:pStyle w:val="Nadpis3"/>
      <w:numFmt w:val="decimal"/>
      <w:lvlText w:val="%1.%2.%3."/>
      <w:lvlJc w:val="left"/>
      <w:pPr>
        <w:tabs>
          <w:tab w:val="num" w:pos="851"/>
        </w:tabs>
        <w:ind w:left="0" w:hanging="0"/>
      </w:pPr>
    </w:lvl>
    <w:lvl w:ilvl="3">
      <w:start w:val="1"/>
      <w:pStyle w:val="Nadpis4"/>
      <w:numFmt w:val="decimal"/>
      <w:lvlText w:val="%1.%2.%3.%4."/>
      <w:lvlJc w:val="left"/>
      <w:pPr>
        <w:ind w:left="0" w:hanging="0"/>
      </w:pPr>
    </w:lvl>
    <w:lvl w:ilvl="4">
      <w:start w:val="1"/>
      <w:pStyle w:val="Nadpis5"/>
      <w:numFmt w:val="decimal"/>
      <w:lvlText w:val="%1.%2.%3.%4.%5"/>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cs="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1152" w:hanging="360"/>
      </w:pPr>
      <w:rPr>
        <w:b/>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7">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lvl w:ilvl="0">
      <w:start w:val="1"/>
      <w:numFmt w:val="bullet"/>
      <w:lvlText w:val=""/>
      <w:lvlJc w:val="left"/>
      <w:pPr>
        <w:ind w:left="1512" w:hanging="360"/>
      </w:pPr>
      <w:rPr>
        <w:rFonts w:ascii="Symbol" w:hAnsi="Symbol" w:cs="Symbol" w:hint="default"/>
      </w:rPr>
    </w:lvl>
    <w:lvl w:ilvl="1">
      <w:start w:val="1"/>
      <w:numFmt w:val="bullet"/>
      <w:lvlText w:val="o"/>
      <w:lvlJc w:val="left"/>
      <w:pPr>
        <w:ind w:left="2232" w:hanging="360"/>
      </w:pPr>
      <w:rPr>
        <w:rFonts w:ascii="Courier New" w:hAnsi="Courier New" w:cs="Courier New" w:hint="default"/>
        <w:rFonts w:cs="Courier New"/>
      </w:rPr>
    </w:lvl>
    <w:lvl w:ilvl="2">
      <w:start w:val="1"/>
      <w:numFmt w:val="bullet"/>
      <w:lvlText w:val=""/>
      <w:lvlJc w:val="left"/>
      <w:pPr>
        <w:ind w:left="2952" w:hanging="360"/>
      </w:pPr>
      <w:rPr>
        <w:rFonts w:ascii="Wingdings" w:hAnsi="Wingdings" w:cs="Wingdings" w:hint="default"/>
      </w:rPr>
    </w:lvl>
    <w:lvl w:ilvl="3">
      <w:start w:val="1"/>
      <w:numFmt w:val="bullet"/>
      <w:lvlText w:val=""/>
      <w:lvlJc w:val="left"/>
      <w:pPr>
        <w:ind w:left="3672" w:hanging="360"/>
      </w:pPr>
      <w:rPr>
        <w:rFonts w:ascii="Symbol" w:hAnsi="Symbol" w:cs="Symbol" w:hint="default"/>
      </w:rPr>
    </w:lvl>
    <w:lvl w:ilvl="4">
      <w:start w:val="1"/>
      <w:numFmt w:val="bullet"/>
      <w:lvlText w:val="o"/>
      <w:lvlJc w:val="left"/>
      <w:pPr>
        <w:ind w:left="4392" w:hanging="360"/>
      </w:pPr>
      <w:rPr>
        <w:rFonts w:ascii="Courier New" w:hAnsi="Courier New" w:cs="Courier New" w:hint="default"/>
        <w:rFonts w:cs="Courier New"/>
      </w:rPr>
    </w:lvl>
    <w:lvl w:ilvl="5">
      <w:start w:val="1"/>
      <w:numFmt w:val="bullet"/>
      <w:lvlText w:val=""/>
      <w:lvlJc w:val="left"/>
      <w:pPr>
        <w:ind w:left="5112" w:hanging="360"/>
      </w:pPr>
      <w:rPr>
        <w:rFonts w:ascii="Wingdings" w:hAnsi="Wingdings" w:cs="Wingdings" w:hint="default"/>
      </w:rPr>
    </w:lvl>
    <w:lvl w:ilvl="6">
      <w:start w:val="1"/>
      <w:numFmt w:val="bullet"/>
      <w:lvlText w:val=""/>
      <w:lvlJc w:val="left"/>
      <w:pPr>
        <w:ind w:left="5832" w:hanging="360"/>
      </w:pPr>
      <w:rPr>
        <w:rFonts w:ascii="Symbol" w:hAnsi="Symbol" w:cs="Symbol" w:hint="default"/>
      </w:rPr>
    </w:lvl>
    <w:lvl w:ilvl="7">
      <w:start w:val="1"/>
      <w:numFmt w:val="bullet"/>
      <w:lvlText w:val="o"/>
      <w:lvlJc w:val="left"/>
      <w:pPr>
        <w:ind w:left="6552" w:hanging="360"/>
      </w:pPr>
      <w:rPr>
        <w:rFonts w:ascii="Courier New" w:hAnsi="Courier New" w:cs="Courier New" w:hint="default"/>
        <w:rFonts w:cs="Courier New"/>
      </w:rPr>
    </w:lvl>
    <w:lvl w:ilvl="8">
      <w:start w:val="1"/>
      <w:numFmt w:val="bullet"/>
      <w:lvlText w:val=""/>
      <w:lvlJc w:val="left"/>
      <w:pPr>
        <w:ind w:left="7272" w:hanging="360"/>
      </w:pPr>
      <w:rPr>
        <w:rFonts w:ascii="Wingdings" w:hAnsi="Wingdings" w:cs="Wingdings" w:hint="default"/>
      </w:rPr>
    </w:lvl>
  </w:abstractNum>
  <w:abstractNum w:abstractNumId="10">
    <w:lvl w:ilvl="0">
      <w:start w:val="5"/>
      <w:numFmt w:val="decimal"/>
      <w:lvlText w:val="%1."/>
      <w:lvlJc w:val="left"/>
      <w:pPr>
        <w:ind w:left="720" w:hanging="360"/>
      </w:pPr>
      <w:rPr>
        <w:b/>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Nadpis1">
    <w:name w:val="Heading 1"/>
    <w:basedOn w:val="Normal"/>
    <w:next w:val="Normal"/>
    <w:link w:val="Nadpis1Char"/>
    <w:uiPriority w:val="9"/>
    <w:qFormat/>
    <w:rsid w:val="000f7080"/>
    <w:pPr>
      <w:keepNext w:val="true"/>
      <w:keepLines/>
      <w:numPr>
        <w:ilvl w:val="0"/>
        <w:numId w:val="1"/>
      </w:numPr>
      <w:spacing w:before="480" w:after="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Nadpis2">
    <w:name w:val="Heading 2"/>
    <w:basedOn w:val="Normal"/>
    <w:next w:val="Normal"/>
    <w:link w:val="Nadpis2Char"/>
    <w:uiPriority w:val="9"/>
    <w:unhideWhenUsed/>
    <w:qFormat/>
    <w:rsid w:val="000f7080"/>
    <w:pPr>
      <w:keepNext w:val="true"/>
      <w:keepLines/>
      <w:numPr>
        <w:ilvl w:val="1"/>
        <w:numId w:val="1"/>
      </w:numPr>
      <w:spacing w:before="200" w:after="0"/>
      <w:outlineLvl w:val="1"/>
    </w:pPr>
    <w:rPr>
      <w:rFonts w:ascii="Calibri Light" w:hAnsi="Calibri Light" w:eastAsia="" w:cs="" w:asciiTheme="majorHAnsi" w:cstheme="majorBidi" w:eastAsiaTheme="majorEastAsia" w:hAnsiTheme="majorHAnsi"/>
      <w:b/>
      <w:bCs/>
      <w:color w:val="4472C4" w:themeColor="accent1"/>
      <w:sz w:val="26"/>
      <w:szCs w:val="26"/>
    </w:rPr>
  </w:style>
  <w:style w:type="paragraph" w:styleId="Nadpis3">
    <w:name w:val="Heading 3"/>
    <w:basedOn w:val="Normal"/>
    <w:next w:val="Normal"/>
    <w:link w:val="Nadpis3Char"/>
    <w:uiPriority w:val="9"/>
    <w:semiHidden/>
    <w:unhideWhenUsed/>
    <w:qFormat/>
    <w:rsid w:val="000f7080"/>
    <w:pPr>
      <w:keepNext w:val="true"/>
      <w:keepLines/>
      <w:numPr>
        <w:ilvl w:val="2"/>
        <w:numId w:val="1"/>
      </w:numPr>
      <w:spacing w:before="200" w:after="0"/>
      <w:outlineLvl w:val="2"/>
    </w:pPr>
    <w:rPr>
      <w:rFonts w:ascii="Calibri Light" w:hAnsi="Calibri Light" w:eastAsia="" w:cs="" w:asciiTheme="majorHAnsi" w:cstheme="majorBidi" w:eastAsiaTheme="majorEastAsia" w:hAnsiTheme="majorHAnsi"/>
      <w:b/>
      <w:bCs/>
      <w:color w:val="4472C4" w:themeColor="accent1"/>
    </w:rPr>
  </w:style>
  <w:style w:type="paragraph" w:styleId="Nadpis4">
    <w:name w:val="Heading 4"/>
    <w:basedOn w:val="Normal"/>
    <w:next w:val="Normal"/>
    <w:link w:val="Nadpis4Char"/>
    <w:uiPriority w:val="9"/>
    <w:semiHidden/>
    <w:unhideWhenUsed/>
    <w:qFormat/>
    <w:rsid w:val="000f7080"/>
    <w:pPr>
      <w:keepNext w:val="true"/>
      <w:keepLines/>
      <w:numPr>
        <w:ilvl w:val="3"/>
        <w:numId w:val="1"/>
      </w:numPr>
      <w:spacing w:before="200" w:after="0"/>
      <w:outlineLvl w:val="3"/>
    </w:pPr>
    <w:rPr>
      <w:rFonts w:ascii="Calibri Light" w:hAnsi="Calibri Light" w:eastAsia="" w:cs="" w:asciiTheme="majorHAnsi" w:cstheme="majorBidi" w:eastAsiaTheme="majorEastAsia" w:hAnsiTheme="majorHAnsi"/>
      <w:b/>
      <w:bCs/>
      <w:i/>
      <w:iCs/>
      <w:color w:val="4472C4" w:themeColor="accent1"/>
    </w:rPr>
  </w:style>
  <w:style w:type="paragraph" w:styleId="Nadpis5">
    <w:name w:val="Heading 5"/>
    <w:basedOn w:val="Normal"/>
    <w:next w:val="Normal"/>
    <w:link w:val="Nadpis5Char"/>
    <w:uiPriority w:val="9"/>
    <w:semiHidden/>
    <w:unhideWhenUsed/>
    <w:qFormat/>
    <w:rsid w:val="000f7080"/>
    <w:pPr>
      <w:keepNext w:val="true"/>
      <w:keepLines/>
      <w:numPr>
        <w:ilvl w:val="4"/>
        <w:numId w:val="1"/>
      </w:numPr>
      <w:spacing w:before="200" w:after="0"/>
      <w:outlineLvl w:val="4"/>
    </w:pPr>
    <w:rPr>
      <w:rFonts w:ascii="Calibri Light" w:hAnsi="Calibri Light" w:eastAsia="" w:cs="" w:asciiTheme="majorHAnsi" w:cstheme="majorBidi" w:eastAsiaTheme="majorEastAsia" w:hAnsiTheme="majorHAnsi"/>
      <w:color w:val="1F3763" w:themeColor="accent1" w:themeShade="7f"/>
    </w:rPr>
  </w:style>
  <w:style w:type="character" w:styleId="DefaultParagraphFont" w:default="1">
    <w:name w:val="Default Paragraph Font"/>
    <w:uiPriority w:val="1"/>
    <w:semiHidden/>
    <w:unhideWhenUsed/>
    <w:qFormat/>
    <w:rPr/>
  </w:style>
  <w:style w:type="character" w:styleId="A2" w:customStyle="1">
    <w:name w:val="A2"/>
    <w:uiPriority w:val="99"/>
    <w:qFormat/>
    <w:rsid w:val="00cc5379"/>
    <w:rPr>
      <w:rFonts w:cs="URW DIN"/>
      <w:color w:val="000000"/>
      <w:sz w:val="20"/>
      <w:szCs w:val="20"/>
    </w:rPr>
  </w:style>
  <w:style w:type="character" w:styleId="A1" w:customStyle="1">
    <w:name w:val="A1"/>
    <w:uiPriority w:val="99"/>
    <w:qFormat/>
    <w:rsid w:val="00227728"/>
    <w:rPr>
      <w:rFonts w:cs="URW DIN"/>
      <w:color w:val="000000"/>
      <w:sz w:val="20"/>
      <w:szCs w:val="20"/>
    </w:rPr>
  </w:style>
  <w:style w:type="character" w:styleId="Annotationreference">
    <w:name w:val="annotation reference"/>
    <w:basedOn w:val="DefaultParagraphFont"/>
    <w:uiPriority w:val="99"/>
    <w:semiHidden/>
    <w:unhideWhenUsed/>
    <w:qFormat/>
    <w:rsid w:val="00265e5b"/>
    <w:rPr>
      <w:sz w:val="16"/>
      <w:szCs w:val="16"/>
    </w:rPr>
  </w:style>
  <w:style w:type="character" w:styleId="TextkomenteChar" w:customStyle="1">
    <w:name w:val="Text komentáře Char"/>
    <w:basedOn w:val="DefaultParagraphFont"/>
    <w:link w:val="Textkomente"/>
    <w:uiPriority w:val="99"/>
    <w:semiHidden/>
    <w:qFormat/>
    <w:rsid w:val="00265e5b"/>
    <w:rPr>
      <w:sz w:val="20"/>
      <w:szCs w:val="20"/>
    </w:rPr>
  </w:style>
  <w:style w:type="character" w:styleId="PedmtkomenteChar" w:customStyle="1">
    <w:name w:val="Předmět komentáře Char"/>
    <w:basedOn w:val="TextkomenteChar"/>
    <w:link w:val="Pedmtkomente"/>
    <w:uiPriority w:val="99"/>
    <w:semiHidden/>
    <w:qFormat/>
    <w:rsid w:val="00265e5b"/>
    <w:rPr>
      <w:b/>
      <w:bCs/>
      <w:sz w:val="20"/>
      <w:szCs w:val="20"/>
    </w:rPr>
  </w:style>
  <w:style w:type="character" w:styleId="TextbublinyChar" w:customStyle="1">
    <w:name w:val="Text bubliny Char"/>
    <w:basedOn w:val="DefaultParagraphFont"/>
    <w:link w:val="Textbubliny"/>
    <w:uiPriority w:val="99"/>
    <w:semiHidden/>
    <w:qFormat/>
    <w:rsid w:val="00265e5b"/>
    <w:rPr>
      <w:rFonts w:ascii="Segoe UI" w:hAnsi="Segoe UI" w:cs="Segoe UI"/>
      <w:sz w:val="18"/>
      <w:szCs w:val="18"/>
    </w:rPr>
  </w:style>
  <w:style w:type="character" w:styleId="Nadpis1Char" w:customStyle="1">
    <w:name w:val="Nadpis 1 Char"/>
    <w:basedOn w:val="DefaultParagraphFont"/>
    <w:link w:val="Nadpis1"/>
    <w:uiPriority w:val="9"/>
    <w:qFormat/>
    <w:rsid w:val="000f7080"/>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Nadpis2Char" w:customStyle="1">
    <w:name w:val="Nadpis 2 Char"/>
    <w:basedOn w:val="DefaultParagraphFont"/>
    <w:link w:val="Nadpis2"/>
    <w:uiPriority w:val="9"/>
    <w:qFormat/>
    <w:rsid w:val="000f7080"/>
    <w:rPr>
      <w:rFonts w:ascii="Calibri Light" w:hAnsi="Calibri Light" w:eastAsia="" w:cs="" w:asciiTheme="majorHAnsi" w:cstheme="majorBidi" w:eastAsiaTheme="majorEastAsia" w:hAnsiTheme="majorHAnsi"/>
      <w:b/>
      <w:bCs/>
      <w:color w:val="4472C4" w:themeColor="accent1"/>
      <w:sz w:val="26"/>
      <w:szCs w:val="26"/>
    </w:rPr>
  </w:style>
  <w:style w:type="character" w:styleId="Nadpis3Char" w:customStyle="1">
    <w:name w:val="Nadpis 3 Char"/>
    <w:basedOn w:val="DefaultParagraphFont"/>
    <w:link w:val="Nadpis3"/>
    <w:uiPriority w:val="9"/>
    <w:semiHidden/>
    <w:qFormat/>
    <w:rsid w:val="000f7080"/>
    <w:rPr>
      <w:rFonts w:ascii="Calibri Light" w:hAnsi="Calibri Light" w:eastAsia="" w:cs="" w:asciiTheme="majorHAnsi" w:cstheme="majorBidi" w:eastAsiaTheme="majorEastAsia" w:hAnsiTheme="majorHAnsi"/>
      <w:b/>
      <w:bCs/>
      <w:color w:val="4472C4" w:themeColor="accent1"/>
    </w:rPr>
  </w:style>
  <w:style w:type="character" w:styleId="Nadpis4Char" w:customStyle="1">
    <w:name w:val="Nadpis 4 Char"/>
    <w:basedOn w:val="DefaultParagraphFont"/>
    <w:link w:val="Nadpis4"/>
    <w:uiPriority w:val="9"/>
    <w:semiHidden/>
    <w:qFormat/>
    <w:rsid w:val="000f7080"/>
    <w:rPr>
      <w:rFonts w:ascii="Calibri Light" w:hAnsi="Calibri Light" w:eastAsia="" w:cs="" w:asciiTheme="majorHAnsi" w:cstheme="majorBidi" w:eastAsiaTheme="majorEastAsia" w:hAnsiTheme="majorHAnsi"/>
      <w:b/>
      <w:bCs/>
      <w:i/>
      <w:iCs/>
      <w:color w:val="4472C4" w:themeColor="accent1"/>
    </w:rPr>
  </w:style>
  <w:style w:type="character" w:styleId="Nadpis5Char" w:customStyle="1">
    <w:name w:val="Nadpis 5 Char"/>
    <w:basedOn w:val="DefaultParagraphFont"/>
    <w:link w:val="Nadpis5"/>
    <w:uiPriority w:val="9"/>
    <w:semiHidden/>
    <w:qFormat/>
    <w:rsid w:val="000f7080"/>
    <w:rPr>
      <w:rFonts w:ascii="Calibri Light" w:hAnsi="Calibri Light" w:eastAsia="" w:cs="" w:asciiTheme="majorHAnsi" w:cstheme="majorBidi" w:eastAsiaTheme="majorEastAsia" w:hAnsiTheme="majorHAnsi"/>
      <w:color w:val="1F3763" w:themeColor="accent1" w:themeShade="7f"/>
    </w:rPr>
  </w:style>
  <w:style w:type="character" w:styleId="ZhlavChar" w:customStyle="1">
    <w:name w:val="Záhlaví Char"/>
    <w:basedOn w:val="DefaultParagraphFont"/>
    <w:link w:val="Zhlav"/>
    <w:uiPriority w:val="99"/>
    <w:qFormat/>
    <w:rsid w:val="00531607"/>
    <w:rPr/>
  </w:style>
  <w:style w:type="character" w:styleId="ZpatChar" w:customStyle="1">
    <w:name w:val="Zápatí Char"/>
    <w:basedOn w:val="DefaultParagraphFont"/>
    <w:link w:val="Zpat"/>
    <w:uiPriority w:val="99"/>
    <w:qFormat/>
    <w:rsid w:val="00531607"/>
    <w:rPr/>
  </w:style>
  <w:style w:type="character" w:styleId="Internetovodkaz">
    <w:name w:val="Internetový odkaz"/>
    <w:basedOn w:val="DefaultParagraphFont"/>
    <w:uiPriority w:val="99"/>
    <w:unhideWhenUsed/>
    <w:rsid w:val="00b97c30"/>
    <w:rPr>
      <w:color w:val="0563C1" w:themeColor="hyperlink"/>
      <w:u w:val="single"/>
    </w:rPr>
  </w:style>
  <w:style w:type="paragraph" w:styleId="Nadpis">
    <w:name w:val="Nadpis"/>
    <w:basedOn w:val="Normal"/>
    <w:next w:val="Tlotextu"/>
    <w:qFormat/>
    <w:pPr>
      <w:keepNext w:val="true"/>
      <w:spacing w:before="240" w:after="120"/>
    </w:pPr>
    <w:rPr>
      <w:rFonts w:ascii="Liberation Sans" w:hAnsi="Liberation Sans" w:eastAsia="Microsoft YaHei" w:cs="Arial Unicode M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rPr>
  </w:style>
  <w:style w:type="paragraph" w:styleId="ListParagraph">
    <w:name w:val="List Paragraph"/>
    <w:basedOn w:val="Normal"/>
    <w:uiPriority w:val="34"/>
    <w:qFormat/>
    <w:rsid w:val="00a4753f"/>
    <w:pPr>
      <w:spacing w:before="0" w:after="160"/>
      <w:ind w:left="720" w:hanging="0"/>
      <w:contextualSpacing/>
    </w:pPr>
    <w:rPr/>
  </w:style>
  <w:style w:type="paragraph" w:styleId="Default" w:customStyle="1">
    <w:name w:val="Default"/>
    <w:qFormat/>
    <w:rsid w:val="00227728"/>
    <w:pPr>
      <w:widowControl/>
      <w:bidi w:val="0"/>
      <w:spacing w:lineRule="auto" w:line="240" w:before="0" w:after="0"/>
      <w:jc w:val="left"/>
    </w:pPr>
    <w:rPr>
      <w:rFonts w:ascii="URW DIN" w:hAnsi="URW DIN" w:cs="URW DIN" w:eastAsia="Calibri"/>
      <w:color w:val="000000"/>
      <w:kern w:val="0"/>
      <w:sz w:val="24"/>
      <w:szCs w:val="24"/>
      <w:lang w:val="cs-CZ" w:eastAsia="en-US" w:bidi="ar-SA"/>
    </w:rPr>
  </w:style>
  <w:style w:type="paragraph" w:styleId="Annotationtext">
    <w:name w:val="annotation text"/>
    <w:basedOn w:val="Normal"/>
    <w:link w:val="TextkomenteChar"/>
    <w:uiPriority w:val="99"/>
    <w:semiHidden/>
    <w:unhideWhenUsed/>
    <w:qFormat/>
    <w:rsid w:val="00265e5b"/>
    <w:pPr>
      <w:spacing w:lineRule="auto" w:line="240"/>
    </w:pPr>
    <w:rPr>
      <w:sz w:val="20"/>
      <w:szCs w:val="20"/>
    </w:rPr>
  </w:style>
  <w:style w:type="paragraph" w:styleId="Annotationsubject">
    <w:name w:val="annotation subject"/>
    <w:basedOn w:val="Annotationtext"/>
    <w:next w:val="Annotationtext"/>
    <w:link w:val="PedmtkomenteChar"/>
    <w:uiPriority w:val="99"/>
    <w:semiHidden/>
    <w:unhideWhenUsed/>
    <w:qFormat/>
    <w:rsid w:val="00265e5b"/>
    <w:pPr/>
    <w:rPr>
      <w:b/>
      <w:bCs/>
    </w:rPr>
  </w:style>
  <w:style w:type="paragraph" w:styleId="BalloonText">
    <w:name w:val="Balloon Text"/>
    <w:basedOn w:val="Normal"/>
    <w:link w:val="TextbublinyChar"/>
    <w:uiPriority w:val="99"/>
    <w:semiHidden/>
    <w:unhideWhenUsed/>
    <w:qFormat/>
    <w:rsid w:val="00265e5b"/>
    <w:pPr>
      <w:spacing w:lineRule="auto" w:line="240" w:before="0" w:after="0"/>
    </w:pPr>
    <w:rPr>
      <w:rFonts w:ascii="Segoe UI" w:hAnsi="Segoe UI" w:cs="Segoe UI"/>
      <w:sz w:val="18"/>
      <w:szCs w:val="18"/>
    </w:rPr>
  </w:style>
  <w:style w:type="paragraph" w:styleId="Revision">
    <w:name w:val="Revision"/>
    <w:uiPriority w:val="99"/>
    <w:semiHidden/>
    <w:qFormat/>
    <w:rsid w:val="00fe4aab"/>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Zhlavazpat">
    <w:name w:val="Záhlaví a zápatí"/>
    <w:basedOn w:val="Normal"/>
    <w:qFormat/>
    <w:pPr/>
    <w:rPr/>
  </w:style>
  <w:style w:type="paragraph" w:styleId="Zhlav">
    <w:name w:val="Header"/>
    <w:basedOn w:val="Normal"/>
    <w:link w:val="ZhlavChar"/>
    <w:uiPriority w:val="99"/>
    <w:unhideWhenUsed/>
    <w:rsid w:val="00531607"/>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531607"/>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9CDF4-52F3-4D36-8724-09D167A9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LibreOffice/6.3.2.2$Windows_x86 LibreOffice_project/98b30e735bda24bc04ab42594c85f7fd8be07b9c</Application>
  <Pages>7</Pages>
  <Words>2663</Words>
  <Characters>15630</Characters>
  <CharactersWithSpaces>18679</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2021-11-23T15:29:00Z</dcterms:created>
  <dc:creator>Riana Kvačková</dc:creator>
  <dc:description/>
  <dc:language>cs-CZ</dc:language>
  <cp:lastModifiedBy/>
  <dcterms:modified xsi:type="dcterms:W3CDTF">2021-11-30T10:36:04Z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