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lineRule="auto" w:line="276" w:before="0" w:after="120"/>
        <w:rPr/>
      </w:pPr>
      <w:r>
        <w:rPr>
          <w:sz w:val="22"/>
          <w:szCs w:val="24"/>
          <w:u w:val="single"/>
        </w:rPr>
        <w:t>Smlouva o vypořádání závazků</w:t>
      </w:r>
    </w:p>
    <w:p>
      <w:pPr>
        <w:pStyle w:val="Textbody"/>
        <w:spacing w:lineRule="auto" w:line="276"/>
        <w:jc w:val="center"/>
        <w:rPr/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>
      <w:pPr>
        <w:pStyle w:val="ListContinue"/>
        <w:spacing w:lineRule="auto" w:line="276"/>
        <w:ind w:left="0" w:hanging="0"/>
        <w:jc w:val="both"/>
        <w:rPr/>
      </w:pPr>
      <w:r>
        <w:rPr>
          <w:b/>
          <w:i/>
          <w:sz w:val="22"/>
          <w:szCs w:val="24"/>
        </w:rPr>
        <w:t>Objednatelem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 xml:space="preserve">Název: </w:t>
        <w:tab/>
        <w:t>Krajský úřad Středočeského kraje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>Sídlo:  Zborovská 11, Praha 5Smíchov 15021, IČO: 70891095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>Zastoupený:  Mgr. Janou Ležalovou, ředitelkou Základní školy, Kouřim, Okružní 435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>se sídlem : Okružní 435, 281 61 Kouřim, IČO: 70836256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>č.ú.: 0427289329/0800</w:t>
      </w:r>
    </w:p>
    <w:p>
      <w:pPr>
        <w:pStyle w:val="ListContinue"/>
        <w:spacing w:lineRule="auto" w:line="276"/>
        <w:ind w:left="0" w:firstLine="283"/>
        <w:jc w:val="both"/>
        <w:rPr/>
      </w:pPr>
      <w:r>
        <w:rPr>
          <w:sz w:val="22"/>
          <w:szCs w:val="24"/>
        </w:rPr>
        <w:t xml:space="preserve">kontaktní email: </w:t>
        <w:tab/>
        <w:t>zvskourim@centrum.cz</w:t>
      </w:r>
    </w:p>
    <w:p>
      <w:pPr>
        <w:pStyle w:val="ListContinue"/>
        <w:spacing w:lineRule="auto" w:line="276"/>
        <w:ind w:left="0" w:hanging="0"/>
        <w:jc w:val="both"/>
        <w:rPr/>
      </w:pPr>
      <w:r>
        <w:rPr>
          <w:sz w:val="22"/>
          <w:szCs w:val="24"/>
        </w:rPr>
        <w:t xml:space="preserve">                                   </w:t>
      </w:r>
      <w:r>
        <w:rPr>
          <w:sz w:val="22"/>
          <w:szCs w:val="24"/>
        </w:rPr>
        <w:t>a</w:t>
      </w:r>
    </w:p>
    <w:p>
      <w:pPr>
        <w:pStyle w:val="ListContinue"/>
        <w:spacing w:lineRule="auto" w:line="276"/>
        <w:ind w:left="0" w:hanging="0"/>
        <w:jc w:val="both"/>
        <w:rPr/>
      </w:pPr>
      <w:r>
        <w:rPr>
          <w:b/>
          <w:i/>
          <w:sz w:val="22"/>
          <w:szCs w:val="24"/>
        </w:rPr>
        <w:t>Dodavatelem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>Gepard services s.r.o.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>se sídlem Jaurisova 515/4, 140 00 Praha 4 – Michle,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>IČ: 065 83 342, DIČ CZ06583342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>Zapsaná v obchodním rejstříku vedeném Městským soudem v Praze, oddíl C, vložka 284807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>bankovní spojení: 4545454567/5500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>zastoupena: JUDr. Jaroslav Kostohryz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>kontaktní telefon: 605 01 36 37</w:t>
      </w:r>
    </w:p>
    <w:p>
      <w:pPr>
        <w:pStyle w:val="ListContinue"/>
        <w:spacing w:lineRule="auto" w:line="276"/>
        <w:ind w:left="0" w:firstLine="283"/>
        <w:jc w:val="both"/>
        <w:rPr/>
      </w:pPr>
      <w:r>
        <w:rPr>
          <w:sz w:val="22"/>
          <w:szCs w:val="24"/>
        </w:rPr>
        <w:t>kontaktní email: david.zahora@gepardservices.cz</w:t>
      </w:r>
    </w:p>
    <w:p>
      <w:pPr>
        <w:pStyle w:val="Standard"/>
        <w:spacing w:before="0" w:after="120"/>
        <w:jc w:val="center"/>
        <w:rPr/>
      </w:pPr>
      <w:r>
        <w:rPr>
          <w:rFonts w:cs="Times New Roman"/>
          <w:b/>
        </w:rPr>
        <w:t>I.</w:t>
      </w:r>
    </w:p>
    <w:p>
      <w:pPr>
        <w:pStyle w:val="Standard"/>
        <w:spacing w:before="0" w:after="120"/>
        <w:jc w:val="center"/>
        <w:rPr/>
      </w:pPr>
      <w:r>
        <w:rPr>
          <w:rFonts w:cs="Times New Roman"/>
          <w:b/>
        </w:rPr>
        <w:t>Popis skutkového stavu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ind w:left="426" w:hanging="0"/>
        <w:jc w:val="both"/>
        <w:rPr/>
      </w:pPr>
      <w:r>
        <w:rPr>
          <w:rFonts w:cs="Times New Roman"/>
        </w:rPr>
        <w:t xml:space="preserve">Smluvní strany uzavřely dne 25.5.2018 smlouvu Smlouva o poskytování služeb pověřence pro ochranu osobních údajů „Externí pověřenec s garancí“ jejímž předmětem bylo </w:t>
      </w:r>
      <w:r>
        <w:rPr>
          <w:rFonts w:cs="Calibri"/>
        </w:rPr>
        <w:t xml:space="preserve">zajistit funkci </w:t>
      </w:r>
      <w:r>
        <w:rPr>
          <w:rFonts w:cs="Calibri"/>
          <w:b/>
        </w:rPr>
        <w:t xml:space="preserve">pověřence pro ochranu osobních údajů, </w:t>
      </w:r>
      <w:r>
        <w:rPr>
          <w:rFonts w:cs="Calibri"/>
        </w:rPr>
        <w:t xml:space="preserve"> zajistit pro Objednatele </w:t>
      </w:r>
      <w:r>
        <w:rPr>
          <w:rFonts w:cs="Calibri"/>
          <w:b/>
        </w:rPr>
        <w:t xml:space="preserve">poradenství směřující k dosažení souladu nakládání s osobními údaji s GDPR, </w:t>
      </w:r>
      <w:r>
        <w:rPr>
          <w:rFonts w:cs="Calibri"/>
        </w:rPr>
        <w:t xml:space="preserve"> zajistit </w:t>
      </w:r>
      <w:r>
        <w:rPr>
          <w:rFonts w:cs="Calibri"/>
          <w:b/>
        </w:rPr>
        <w:t xml:space="preserve">Interní audit souladu nakládání s osobními údaji s GDPR </w:t>
      </w:r>
      <w:r>
        <w:rPr>
          <w:rFonts w:cs="Times New Roman"/>
        </w:rPr>
        <w:t>Tato smlouva byla uzavřena v souladu s výběrem objednatele.</w:t>
      </w:r>
    </w:p>
    <w:p>
      <w:pPr>
        <w:pStyle w:val="ListParagraph"/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Strana objednatele je povinným subjektem pro uveřejňování v registru smluv dle smlouvy uvedené v ustanovení odst. 1. tohoto článku a má povinnost uzavřenou smlouvu uveřejnit postupem podle zákona č. 340/2015 Sb., zákon o registru smluv, ve znění pozdějších předpisů.</w:t>
      </w:r>
    </w:p>
    <w:p>
      <w:pPr>
        <w:pStyle w:val="ListParagraph"/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>
      <w:pPr>
        <w:pStyle w:val="ListParagraph"/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>
      <w:pPr>
        <w:pStyle w:val="Standard"/>
        <w:spacing w:before="0" w:after="120"/>
        <w:jc w:val="center"/>
        <w:rPr/>
      </w:pPr>
      <w:r>
        <w:rPr>
          <w:rFonts w:cs="Times New Roman"/>
          <w:b/>
        </w:rPr>
        <w:t>II.</w:t>
      </w:r>
    </w:p>
    <w:p>
      <w:pPr>
        <w:pStyle w:val="Standard"/>
        <w:spacing w:before="0" w:after="120"/>
        <w:jc w:val="center"/>
        <w:rPr/>
      </w:pPr>
      <w:r>
        <w:rPr>
          <w:rFonts w:cs="Times New Roman"/>
          <w:b/>
        </w:rPr>
        <w:t>Práva a závazky smluvních stran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Ukotvenpoznmkypodarou"/>
        </w:rPr>
        <w:footnoteReference w:id="2"/>
      </w:r>
      <w:r>
        <w:rPr>
          <w:rFonts w:cs="Times New Roman"/>
        </w:rPr>
        <w:t>, která tvoří pro tyto účely přílohu této smlouvy. Lhůty se rovněž řídí původně sjednanou smlouvou a počítají se od uplynutí 31 dnů od data jejího uzavření.</w:t>
      </w:r>
    </w:p>
    <w:p>
      <w:pPr>
        <w:pStyle w:val="ListParagraph"/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>
      <w:pPr>
        <w:pStyle w:val="ListParagraph"/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>
      <w:pPr>
        <w:pStyle w:val="ListParagraph"/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>
      <w:pPr>
        <w:pStyle w:val="Standard"/>
        <w:spacing w:before="0" w:after="120"/>
        <w:jc w:val="center"/>
        <w:rPr/>
      </w:pPr>
      <w:r>
        <w:rPr>
          <w:rFonts w:cs="Times New Roman"/>
          <w:b/>
        </w:rPr>
        <w:t>III.</w:t>
      </w:r>
    </w:p>
    <w:p>
      <w:pPr>
        <w:pStyle w:val="Standard"/>
        <w:spacing w:before="0" w:after="120"/>
        <w:jc w:val="center"/>
        <w:rPr/>
      </w:pPr>
      <w:r>
        <w:rPr>
          <w:rFonts w:cs="Times New Roman"/>
          <w:b/>
        </w:rPr>
        <w:t>Závěrečná ustanovení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76" w:before="0" w:after="120"/>
        <w:ind w:left="0" w:hanging="720"/>
        <w:jc w:val="both"/>
        <w:rPr/>
      </w:pPr>
      <w:r>
        <w:rPr>
          <w:rFonts w:cs="Times New Roman"/>
        </w:rPr>
        <w:t>Tato smlouva o vypořádání závazků nabývá účinnosti dnem uveřejnění v registru smluv.</w:t>
      </w:r>
    </w:p>
    <w:p>
      <w:pPr>
        <w:pStyle w:val="Standard"/>
        <w:tabs>
          <w:tab w:val="clear" w:pos="708"/>
          <w:tab w:val="left" w:pos="852" w:leader="none"/>
        </w:tabs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Tato smlouva o vypořádání závazků je vyhotovena ve dvou stejnopisech, každý s hodnotou originálu, přičemž každá ze smluvních stran obdrží jeden stejnopis.</w:t>
      </w:r>
    </w:p>
    <w:p>
      <w:pPr>
        <w:pStyle w:val="Standard"/>
        <w:spacing w:before="0" w:after="12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pacing w:before="0" w:after="120"/>
        <w:jc w:val="both"/>
        <w:rPr/>
      </w:pPr>
      <w:r>
        <w:rPr>
          <w:rFonts w:cs="Times New Roman"/>
        </w:rPr>
        <w:t>Příloha č. 1 – Smlouva o poskytování služeb pověřence pro ochranu osobních údajů</w:t>
      </w:r>
    </w:p>
    <w:p>
      <w:pPr>
        <w:pStyle w:val="Standard"/>
        <w:spacing w:before="0" w:after="120"/>
        <w:jc w:val="both"/>
        <w:rPr/>
      </w:pPr>
      <w:r>
        <w:rPr>
          <w:rFonts w:cs="Times New Roman"/>
        </w:rPr>
        <w:t>„</w:t>
      </w:r>
      <w:r>
        <w:rPr>
          <w:rFonts w:cs="Times New Roman"/>
        </w:rPr>
        <w:t>Externí pověřenec s garancí“ ze dne 25.5.2018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V Praze dne</w:t>
        <w:tab/>
        <w:tab/>
      </w:r>
      <w:r>
        <w:rPr/>
        <w:t>22.11.2021</w:t>
      </w:r>
      <w:r>
        <w:rPr/>
        <w:tab/>
        <w:tab/>
        <w:tab/>
        <w:tab/>
        <w:t xml:space="preserve">V  Kouřimi  dne </w:t>
      </w:r>
      <w:r>
        <w:rPr/>
        <w:t>29.11.2021</w: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>
          <w:rFonts w:cs="Times New Roman"/>
        </w:rPr>
        <w:t>---------------------------------------</w:t>
        <w:tab/>
        <w:tab/>
        <w:tab/>
        <w:t>-----------------------------------------</w:t>
      </w:r>
    </w:p>
    <w:p>
      <w:pPr>
        <w:pStyle w:val="Standard"/>
        <w:rPr/>
      </w:pPr>
      <w:r>
        <w:rPr>
          <w:rFonts w:cs="Times New Roman"/>
        </w:rPr>
        <w:t xml:space="preserve">  </w:t>
      </w:r>
      <w:r>
        <w:rPr>
          <w:rFonts w:cs="Times New Roman"/>
        </w:rPr>
        <w:tab/>
        <w:tab/>
        <w:t xml:space="preserve">   dodavatel</w:t>
        <w:tab/>
        <w:tab/>
        <w:tab/>
        <w:tab/>
        <w:tab/>
        <w:t xml:space="preserve"> odběratel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URW DI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jc w:val="both"/>
        <w:rPr/>
      </w:pPr>
      <w:r>
        <w:rPr>
          <w:rStyle w:val="Znakypropoznmkupodarou"/>
        </w:rPr>
        <w:footnoteRef/>
      </w:r>
      <w:r>
        <w:rPr>
          <w:rFonts w:cs="Times New Roman"/>
          <w:sz w:val="16"/>
        </w:rPr>
        <w:t xml:space="preserve">V případě jakýchkoli změn smlouvy na veřejnou zakázku musí být tyto změny v souladu s § 222 zákona č. 134/2016, </w:t>
        <w:br/>
        <w:t>o zadávání veřejných zakázek, jinak by mohl být postup zadavatele považován za přestupek dle § 268 tohoto zákona.</w:t>
      </w:r>
    </w:p>
    <w:p>
      <w:pPr>
        <w:pStyle w:val="Footnote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ZkladntextChar" w:customStyle="1">
    <w:name w:val="Základní text Char"/>
    <w:basedOn w:val="DefaultParagraphFont"/>
    <w:qFormat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stavecseseznamemChar" w:customStyle="1">
    <w:name w:val="Odstavec se seznamem Char"/>
    <w:basedOn w:val="DefaultParagraphFont"/>
    <w:qFormat/>
    <w:rPr/>
  </w:style>
  <w:style w:type="character" w:styleId="TextpoznpodarouChar" w:customStyle="1">
    <w:name w:val="Text pozn. pod čarou Char"/>
    <w:basedOn w:val="DefaultParagraphFont"/>
    <w:qFormat/>
    <w:rPr>
      <w:sz w:val="20"/>
      <w:szCs w:val="20"/>
    </w:rPr>
  </w:style>
  <w:style w:type="character" w:styleId="Ukotvenpoznmkypodarou" w:customStyle="1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A2" w:customStyle="1">
    <w:name w:val="A2"/>
    <w:qFormat/>
    <w:rPr>
      <w:rFonts w:cs="URW DIN"/>
      <w:color w:val="000000"/>
      <w:sz w:val="20"/>
      <w:szCs w:val="20"/>
    </w:rPr>
  </w:style>
  <w:style w:type="character" w:styleId="Znakypropoznmkupodarou" w:customStyle="1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>
      <w:rFonts w:eastAsia="Times New Roman" w:cs="Times New Roman"/>
      <w:sz w:val="20"/>
      <w:szCs w:val="20"/>
      <w:lang w:eastAsia="cs-CZ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Nzev">
    <w:name w:val="Title"/>
    <w:basedOn w:val="Standard"/>
    <w:next w:val="Podtitul"/>
    <w:qFormat/>
    <w:pPr>
      <w:jc w:val="center"/>
    </w:pPr>
    <w:rPr>
      <w:rFonts w:eastAsia="Times New Roman" w:cs="Times New Roman"/>
      <w:b/>
      <w:bCs/>
      <w:szCs w:val="20"/>
      <w:lang w:eastAsia="cs-CZ"/>
    </w:rPr>
  </w:style>
  <w:style w:type="paragraph" w:styleId="Podtitul">
    <w:name w:val="Subtitle"/>
    <w:basedOn w:val="Nadpis"/>
    <w:next w:val="Textbody"/>
    <w:qFormat/>
    <w:pPr>
      <w:jc w:val="center"/>
    </w:pPr>
    <w:rPr>
      <w:i/>
      <w:iCs/>
    </w:rPr>
  </w:style>
  <w:style w:type="paragraph" w:styleId="ListContinue">
    <w:name w:val="List Continue"/>
    <w:basedOn w:val="Standard"/>
    <w:qFormat/>
    <w:pPr>
      <w:spacing w:before="0" w:after="120"/>
      <w:ind w:left="283" w:hanging="0"/>
    </w:pPr>
    <w:rPr>
      <w:rFonts w:eastAsia="Times New Roman" w:cs="Times New Roman"/>
      <w:sz w:val="20"/>
      <w:szCs w:val="20"/>
      <w:lang w:eastAsia="cs-CZ"/>
    </w:rPr>
  </w:style>
  <w:style w:type="paragraph" w:styleId="Poznmkapodarou">
    <w:name w:val="Footnote Text"/>
    <w:basedOn w:val="Standard"/>
    <w:pPr/>
    <w:rPr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  <w:textAlignment w:val="baseline"/>
    </w:pPr>
    <w:rPr>
      <w:rFonts w:ascii="URW DIN" w:hAnsi="URW DIN" w:cs="URW DIN" w:eastAsia="SimSun"/>
      <w:color w:val="000000"/>
      <w:kern w:val="2"/>
      <w:sz w:val="24"/>
      <w:szCs w:val="24"/>
      <w:lang w:val="cs-CZ" w:eastAsia="zh-CN" w:bidi="hi-IN"/>
    </w:rPr>
  </w:style>
  <w:style w:type="paragraph" w:styleId="Footnote" w:customStyle="1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 LibreOffice_project/98b30e735bda24bc04ab42594c85f7fd8be07b9c</Application>
  <Pages>2</Pages>
  <Words>605</Words>
  <Characters>3541</Characters>
  <CharactersWithSpaces>4166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2021-11-23T16:17:00Z</dcterms:created>
  <dc:creator>david zahora</dc:creator>
  <dc:description/>
  <dc:language>cs-CZ</dc:language>
  <cp:lastModifiedBy/>
  <dcterms:modified xsi:type="dcterms:W3CDTF">2021-11-30T10:36:52Z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