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1802" w14:textId="47539EA8" w:rsidR="00872379" w:rsidRDefault="00666C67">
      <w:pPr>
        <w:pStyle w:val="Heading20"/>
        <w:framePr w:w="8722" w:h="10635" w:hRule="exact" w:wrap="none" w:vAnchor="page" w:hAnchor="page" w:x="1671" w:y="750"/>
        <w:shd w:val="clear" w:color="auto" w:fill="auto"/>
        <w:ind w:firstLine="0"/>
      </w:pPr>
      <w:bookmarkStart w:id="0" w:name="bookmark0"/>
      <w:r>
        <w:t>Hudební divadlo v Karlíně</w:t>
      </w:r>
      <w:bookmarkEnd w:id="0"/>
    </w:p>
    <w:p w14:paraId="1A431803" w14:textId="77777777" w:rsidR="00872379" w:rsidRDefault="00666C67">
      <w:pPr>
        <w:pStyle w:val="Bodytext20"/>
        <w:framePr w:w="8722" w:h="10635" w:hRule="exact" w:wrap="none" w:vAnchor="page" w:hAnchor="page" w:x="1671" w:y="750"/>
        <w:shd w:val="clear" w:color="auto" w:fill="auto"/>
        <w:ind w:firstLine="0"/>
      </w:pPr>
      <w:r>
        <w:t>se sídlem Praha 8, Křižíkova 10, PSČ: 186 17</w:t>
      </w:r>
    </w:p>
    <w:p w14:paraId="1A431804" w14:textId="77777777" w:rsidR="00872379" w:rsidRDefault="00666C67">
      <w:pPr>
        <w:pStyle w:val="Bodytext20"/>
        <w:framePr w:w="8722" w:h="10635" w:hRule="exact" w:wrap="none" w:vAnchor="page" w:hAnchor="page" w:x="1671" w:y="750"/>
        <w:shd w:val="clear" w:color="auto" w:fill="auto"/>
        <w:ind w:firstLine="0"/>
      </w:pPr>
      <w:r>
        <w:t>IČ: 00064335</w:t>
      </w:r>
    </w:p>
    <w:p w14:paraId="1A431805" w14:textId="77777777" w:rsidR="00872379" w:rsidRDefault="00666C67">
      <w:pPr>
        <w:pStyle w:val="Bodytext20"/>
        <w:framePr w:w="8722" w:h="10635" w:hRule="exact" w:wrap="none" w:vAnchor="page" w:hAnchor="page" w:x="1671" w:y="750"/>
        <w:shd w:val="clear" w:color="auto" w:fill="auto"/>
        <w:ind w:firstLine="0"/>
      </w:pPr>
      <w:r>
        <w:t>zastoupená ředitelem Bc. Egonem Kulhánkem</w:t>
      </w:r>
    </w:p>
    <w:p w14:paraId="1A431806" w14:textId="77777777" w:rsidR="00872379" w:rsidRDefault="00666C67">
      <w:pPr>
        <w:pStyle w:val="Bodytext20"/>
        <w:framePr w:w="8722" w:h="10635" w:hRule="exact" w:wrap="none" w:vAnchor="page" w:hAnchor="page" w:x="1671" w:y="750"/>
        <w:shd w:val="clear" w:color="auto" w:fill="auto"/>
        <w:spacing w:after="219"/>
        <w:ind w:firstLine="0"/>
      </w:pPr>
      <w:r>
        <w:t xml:space="preserve">(dále </w:t>
      </w:r>
      <w:proofErr w:type="gramStart"/>
      <w:r>
        <w:t>jen ,,HDK</w:t>
      </w:r>
      <w:proofErr w:type="gramEnd"/>
      <w:r>
        <w:t>“)</w:t>
      </w:r>
    </w:p>
    <w:p w14:paraId="1A431807" w14:textId="77777777" w:rsidR="00872379" w:rsidRDefault="00666C67">
      <w:pPr>
        <w:pStyle w:val="Bodytext20"/>
        <w:framePr w:w="8722" w:h="10635" w:hRule="exact" w:wrap="none" w:vAnchor="page" w:hAnchor="page" w:x="1671" w:y="750"/>
        <w:shd w:val="clear" w:color="auto" w:fill="auto"/>
        <w:spacing w:after="221" w:line="232" w:lineRule="exact"/>
        <w:ind w:firstLine="0"/>
      </w:pPr>
      <w:r>
        <w:t>a</w:t>
      </w:r>
    </w:p>
    <w:p w14:paraId="1A431808" w14:textId="6DFA7722" w:rsidR="00872379" w:rsidRDefault="00666C67">
      <w:pPr>
        <w:pStyle w:val="Heading20"/>
        <w:framePr w:w="8722" w:h="10635" w:hRule="exact" w:wrap="none" w:vAnchor="page" w:hAnchor="page" w:x="1671" w:y="750"/>
        <w:shd w:val="clear" w:color="auto" w:fill="auto"/>
        <w:ind w:firstLine="0"/>
      </w:pPr>
      <w:bookmarkStart w:id="1" w:name="bookmark1"/>
      <w:r>
        <w:t>Josef Vágner</w:t>
      </w:r>
      <w:bookmarkEnd w:id="1"/>
    </w:p>
    <w:p w14:paraId="1A431809" w14:textId="77777777" w:rsidR="00872379" w:rsidRDefault="00666C67">
      <w:pPr>
        <w:pStyle w:val="Bodytext20"/>
        <w:framePr w:w="8722" w:h="10635" w:hRule="exact" w:wrap="none" w:vAnchor="page" w:hAnchor="page" w:x="1671" w:y="750"/>
        <w:shd w:val="clear" w:color="auto" w:fill="auto"/>
        <w:ind w:firstLine="0"/>
      </w:pPr>
      <w:r>
        <w:t>Vřesová 502</w:t>
      </w:r>
    </w:p>
    <w:p w14:paraId="1A43180A" w14:textId="77777777" w:rsidR="00872379" w:rsidRDefault="00666C67">
      <w:pPr>
        <w:pStyle w:val="Bodytext20"/>
        <w:framePr w:w="8722" w:h="10635" w:hRule="exact" w:wrap="none" w:vAnchor="page" w:hAnchor="page" w:x="1671" w:y="750"/>
        <w:shd w:val="clear" w:color="auto" w:fill="auto"/>
        <w:ind w:firstLine="0"/>
      </w:pPr>
      <w:r>
        <w:t>252 43 Průhonice</w:t>
      </w:r>
    </w:p>
    <w:p w14:paraId="1A43180B" w14:textId="77777777" w:rsidR="00872379" w:rsidRDefault="00666C67">
      <w:pPr>
        <w:pStyle w:val="Bodytext20"/>
        <w:framePr w:w="8722" w:h="10635" w:hRule="exact" w:wrap="none" w:vAnchor="page" w:hAnchor="page" w:x="1671" w:y="750"/>
        <w:shd w:val="clear" w:color="auto" w:fill="auto"/>
        <w:ind w:firstLine="0"/>
      </w:pPr>
      <w:r>
        <w:t>IČO: 05838240</w:t>
      </w:r>
    </w:p>
    <w:p w14:paraId="1A43180C" w14:textId="77777777" w:rsidR="00872379" w:rsidRDefault="00666C67">
      <w:pPr>
        <w:pStyle w:val="Bodytext20"/>
        <w:framePr w:w="8722" w:h="10635" w:hRule="exact" w:wrap="none" w:vAnchor="page" w:hAnchor="page" w:x="1671" w:y="750"/>
        <w:shd w:val="clear" w:color="auto" w:fill="auto"/>
        <w:spacing w:after="40"/>
        <w:ind w:firstLine="0"/>
      </w:pPr>
      <w:r>
        <w:t>DIČ: CZ9007170216</w:t>
      </w:r>
    </w:p>
    <w:p w14:paraId="1A43180D" w14:textId="77777777" w:rsidR="00872379" w:rsidRDefault="00666C67">
      <w:pPr>
        <w:pStyle w:val="Bodytext20"/>
        <w:framePr w:w="8722" w:h="10635" w:hRule="exact" w:wrap="none" w:vAnchor="page" w:hAnchor="page" w:x="1671" w:y="750"/>
        <w:shd w:val="clear" w:color="auto" w:fill="auto"/>
        <w:spacing w:line="456" w:lineRule="exact"/>
        <w:ind w:firstLine="0"/>
      </w:pPr>
      <w:r>
        <w:t>(dále jen „Společnost")</w:t>
      </w:r>
    </w:p>
    <w:p w14:paraId="1A43180E" w14:textId="77777777" w:rsidR="00872379" w:rsidRDefault="00666C67">
      <w:pPr>
        <w:pStyle w:val="Bodytext20"/>
        <w:framePr w:w="8722" w:h="10635" w:hRule="exact" w:wrap="none" w:vAnchor="page" w:hAnchor="page" w:x="1671" w:y="750"/>
        <w:shd w:val="clear" w:color="auto" w:fill="auto"/>
        <w:spacing w:line="456" w:lineRule="exact"/>
        <w:ind w:firstLine="0"/>
      </w:pPr>
      <w:r>
        <w:t>uzavírají níže uvedeného dne, měsíce a roku tento</w:t>
      </w:r>
    </w:p>
    <w:p w14:paraId="1A43180F" w14:textId="77777777" w:rsidR="00872379" w:rsidRDefault="00666C67">
      <w:pPr>
        <w:pStyle w:val="Heading20"/>
        <w:framePr w:w="8722" w:h="10635" w:hRule="exact" w:wrap="none" w:vAnchor="page" w:hAnchor="page" w:x="1671" w:y="750"/>
        <w:shd w:val="clear" w:color="auto" w:fill="auto"/>
        <w:spacing w:line="456" w:lineRule="exact"/>
        <w:ind w:right="20" w:firstLine="0"/>
        <w:jc w:val="center"/>
      </w:pPr>
      <w:bookmarkStart w:id="2" w:name="bookmark2"/>
      <w:r>
        <w:t>DODATEK č. 1</w:t>
      </w:r>
      <w:bookmarkEnd w:id="2"/>
    </w:p>
    <w:p w14:paraId="1A431810" w14:textId="77777777" w:rsidR="00872379" w:rsidRDefault="00666C67">
      <w:pPr>
        <w:pStyle w:val="Bodytext20"/>
        <w:framePr w:w="8722" w:h="10635" w:hRule="exact" w:wrap="none" w:vAnchor="page" w:hAnchor="page" w:x="1671" w:y="750"/>
        <w:shd w:val="clear" w:color="auto" w:fill="auto"/>
        <w:spacing w:after="221" w:line="232" w:lineRule="exact"/>
        <w:ind w:right="20" w:firstLine="0"/>
        <w:jc w:val="center"/>
      </w:pPr>
      <w:r>
        <w:t>ke smlouvě o podnájmu nebytových prostor:</w:t>
      </w:r>
    </w:p>
    <w:p w14:paraId="1A431811" w14:textId="77777777" w:rsidR="00872379" w:rsidRDefault="00666C67">
      <w:pPr>
        <w:pStyle w:val="Heading10"/>
        <w:framePr w:w="8722" w:h="10635" w:hRule="exact" w:wrap="none" w:vAnchor="page" w:hAnchor="page" w:x="1671" w:y="750"/>
        <w:shd w:val="clear" w:color="auto" w:fill="auto"/>
        <w:spacing w:before="0"/>
        <w:ind w:right="20"/>
      </w:pPr>
      <w:bookmarkStart w:id="3" w:name="bookmark3"/>
      <w:r>
        <w:t>ČI. 1</w:t>
      </w:r>
      <w:bookmarkEnd w:id="3"/>
    </w:p>
    <w:p w14:paraId="1A431812" w14:textId="77777777" w:rsidR="00872379" w:rsidRDefault="00666C67">
      <w:pPr>
        <w:pStyle w:val="Bodytext30"/>
        <w:framePr w:w="8722" w:h="10635" w:hRule="exact" w:wrap="none" w:vAnchor="page" w:hAnchor="page" w:x="1671" w:y="750"/>
        <w:shd w:val="clear" w:color="auto" w:fill="auto"/>
        <w:ind w:right="20"/>
      </w:pPr>
      <w:r>
        <w:t>Úvodní ustanovení</w:t>
      </w:r>
    </w:p>
    <w:p w14:paraId="1A431813" w14:textId="77777777" w:rsidR="00872379" w:rsidRDefault="00666C67">
      <w:pPr>
        <w:pStyle w:val="Bodytext20"/>
        <w:framePr w:w="8722" w:h="10635" w:hRule="exact" w:wrap="none" w:vAnchor="page" w:hAnchor="page" w:x="1671" w:y="750"/>
        <w:numPr>
          <w:ilvl w:val="0"/>
          <w:numId w:val="1"/>
        </w:numPr>
        <w:shd w:val="clear" w:color="auto" w:fill="auto"/>
        <w:tabs>
          <w:tab w:val="left" w:pos="741"/>
        </w:tabs>
        <w:ind w:left="720"/>
      </w:pPr>
      <w:r>
        <w:t xml:space="preserve">Smluvní strany - HDK a Společnost uzavřely dne 21. října 2021 Smlouvu o podnájmu nebytových prostor za účelem uspořádání vánočního koncertu Muzikály naruby (dále </w:t>
      </w:r>
      <w:proofErr w:type="gramStart"/>
      <w:r>
        <w:t>jen ,,akce</w:t>
      </w:r>
      <w:proofErr w:type="gramEnd"/>
      <w:r>
        <w:t>“), v prostorách, které užívá HDK (dále „Smlouva").</w:t>
      </w:r>
    </w:p>
    <w:p w14:paraId="1A431814" w14:textId="77777777" w:rsidR="00872379" w:rsidRDefault="00666C67">
      <w:pPr>
        <w:pStyle w:val="Bodytext20"/>
        <w:framePr w:w="8722" w:h="10635" w:hRule="exact" w:wrap="none" w:vAnchor="page" w:hAnchor="page" w:x="1671" w:y="750"/>
        <w:numPr>
          <w:ilvl w:val="0"/>
          <w:numId w:val="1"/>
        </w:numPr>
        <w:shd w:val="clear" w:color="auto" w:fill="auto"/>
        <w:tabs>
          <w:tab w:val="left" w:pos="741"/>
        </w:tabs>
        <w:spacing w:after="224"/>
        <w:ind w:left="720"/>
      </w:pPr>
      <w:r>
        <w:t>Smluvní strany dnešního dne uzavřely tento dodatek č. 1 ke Smlouvě.</w:t>
      </w:r>
    </w:p>
    <w:p w14:paraId="1A431815" w14:textId="77777777" w:rsidR="00872379" w:rsidRDefault="00666C67">
      <w:pPr>
        <w:pStyle w:val="Heading120"/>
        <w:framePr w:w="8722" w:h="10635" w:hRule="exact" w:wrap="none" w:vAnchor="page" w:hAnchor="page" w:x="1671" w:y="750"/>
        <w:shd w:val="clear" w:color="auto" w:fill="auto"/>
        <w:spacing w:before="0"/>
        <w:ind w:right="20"/>
      </w:pPr>
      <w:bookmarkStart w:id="4" w:name="bookmark4"/>
      <w:r>
        <w:t>ČI. 2</w:t>
      </w:r>
      <w:bookmarkEnd w:id="4"/>
    </w:p>
    <w:p w14:paraId="1A431816" w14:textId="77777777" w:rsidR="00872379" w:rsidRDefault="00666C67">
      <w:pPr>
        <w:pStyle w:val="Bodytext30"/>
        <w:framePr w:w="8722" w:h="10635" w:hRule="exact" w:wrap="none" w:vAnchor="page" w:hAnchor="page" w:x="1671" w:y="750"/>
        <w:shd w:val="clear" w:color="auto" w:fill="auto"/>
        <w:spacing w:line="226" w:lineRule="exact"/>
        <w:ind w:right="20"/>
      </w:pPr>
      <w:r>
        <w:t>Předmět dodatku</w:t>
      </w:r>
    </w:p>
    <w:p w14:paraId="1A431817" w14:textId="77777777" w:rsidR="00872379" w:rsidRDefault="00666C67">
      <w:pPr>
        <w:pStyle w:val="Heading20"/>
        <w:framePr w:w="8722" w:h="10635" w:hRule="exact" w:wrap="none" w:vAnchor="page" w:hAnchor="page" w:x="1671" w:y="750"/>
        <w:numPr>
          <w:ilvl w:val="0"/>
          <w:numId w:val="2"/>
        </w:numPr>
        <w:shd w:val="clear" w:color="auto" w:fill="auto"/>
        <w:tabs>
          <w:tab w:val="left" w:pos="741"/>
        </w:tabs>
        <w:spacing w:line="226" w:lineRule="exact"/>
        <w:ind w:left="720"/>
      </w:pPr>
      <w:bookmarkStart w:id="5" w:name="bookmark5"/>
      <w:r>
        <w:t>Společnost, vzhledem organizačním důvodům, není schopna dodržet termín konání akce a akce se ruší.</w:t>
      </w:r>
      <w:bookmarkEnd w:id="5"/>
    </w:p>
    <w:p w14:paraId="1A431818" w14:textId="77777777" w:rsidR="00872379" w:rsidRDefault="00666C67">
      <w:pPr>
        <w:pStyle w:val="Bodytext20"/>
        <w:framePr w:w="8722" w:h="10635" w:hRule="exact" w:wrap="none" w:vAnchor="page" w:hAnchor="page" w:x="1671" w:y="750"/>
        <w:numPr>
          <w:ilvl w:val="0"/>
          <w:numId w:val="2"/>
        </w:numPr>
        <w:shd w:val="clear" w:color="auto" w:fill="auto"/>
        <w:tabs>
          <w:tab w:val="left" w:pos="741"/>
        </w:tabs>
        <w:spacing w:line="226" w:lineRule="exact"/>
        <w:ind w:left="720"/>
      </w:pPr>
      <w:r>
        <w:t>Vstupenky prodané prostřednictvím prodejního systému HDK budou vypořádány s jednotlivými zákazníky dle běžných pravidel HDK při zrušení akce.</w:t>
      </w:r>
    </w:p>
    <w:p w14:paraId="1A431819" w14:textId="77777777" w:rsidR="00872379" w:rsidRDefault="00666C67">
      <w:pPr>
        <w:pStyle w:val="Bodytext20"/>
        <w:framePr w:w="8722" w:h="10635" w:hRule="exact" w:wrap="none" w:vAnchor="page" w:hAnchor="page" w:x="1671" w:y="750"/>
        <w:numPr>
          <w:ilvl w:val="0"/>
          <w:numId w:val="2"/>
        </w:numPr>
        <w:shd w:val="clear" w:color="auto" w:fill="auto"/>
        <w:tabs>
          <w:tab w:val="left" w:pos="741"/>
        </w:tabs>
        <w:spacing w:line="226" w:lineRule="exact"/>
        <w:ind w:left="720"/>
      </w:pPr>
      <w:r>
        <w:t>Společnost bere na vědomí, že při komunikaci zrušení akce na veřejnosti je povinna dbát dobrého jména HDK a vyvarovat se jakéhokoliv poškození dobrého jména a pověsti HDK v souvislosti se zrušením akce.</w:t>
      </w:r>
    </w:p>
    <w:p w14:paraId="1A43181A" w14:textId="0424E4F1" w:rsidR="00872379" w:rsidRDefault="00666C67">
      <w:pPr>
        <w:pStyle w:val="Bodytext20"/>
        <w:framePr w:w="8722" w:h="10635" w:hRule="exact" w:wrap="none" w:vAnchor="page" w:hAnchor="page" w:x="1671" w:y="750"/>
        <w:numPr>
          <w:ilvl w:val="0"/>
          <w:numId w:val="2"/>
        </w:numPr>
        <w:shd w:val="clear" w:color="auto" w:fill="auto"/>
        <w:tabs>
          <w:tab w:val="left" w:pos="741"/>
        </w:tabs>
        <w:spacing w:after="220" w:line="226" w:lineRule="exact"/>
        <w:ind w:left="720"/>
      </w:pPr>
      <w:r>
        <w:t xml:space="preserve">Společnost je povinna uhradit HDK transakční náklady v souvislosti s vypořádáním prodaných vstupenek ve výši </w:t>
      </w:r>
      <w:proofErr w:type="spellStart"/>
      <w:r w:rsidR="004A15B7">
        <w:t>xx</w:t>
      </w:r>
      <w:proofErr w:type="spellEnd"/>
      <w:r>
        <w:t>% plus DPH z hodnoty prodaných vstupenek. HDK vystaví Společnosti fakturu na transakční náklady do 14 dní od podpisu tohoto dodatku.</w:t>
      </w:r>
    </w:p>
    <w:p w14:paraId="1A43181B" w14:textId="77777777" w:rsidR="00872379" w:rsidRDefault="00666C67">
      <w:pPr>
        <w:pStyle w:val="Heading130"/>
        <w:framePr w:w="8722" w:h="10635" w:hRule="exact" w:wrap="none" w:vAnchor="page" w:hAnchor="page" w:x="1671" w:y="750"/>
        <w:shd w:val="clear" w:color="auto" w:fill="auto"/>
        <w:spacing w:before="0"/>
        <w:ind w:right="20"/>
      </w:pPr>
      <w:bookmarkStart w:id="6" w:name="bookmark6"/>
      <w:r>
        <w:t>ČI. 3</w:t>
      </w:r>
      <w:bookmarkEnd w:id="6"/>
    </w:p>
    <w:p w14:paraId="1A43181C" w14:textId="77777777" w:rsidR="00872379" w:rsidRDefault="00666C67">
      <w:pPr>
        <w:pStyle w:val="Bodytext30"/>
        <w:framePr w:w="8722" w:h="10635" w:hRule="exact" w:wrap="none" w:vAnchor="page" w:hAnchor="page" w:x="1671" w:y="750"/>
        <w:shd w:val="clear" w:color="auto" w:fill="auto"/>
        <w:spacing w:line="226" w:lineRule="exact"/>
        <w:ind w:right="20"/>
      </w:pPr>
      <w:r>
        <w:t>Závěrečná ujednání</w:t>
      </w:r>
    </w:p>
    <w:p w14:paraId="1A43181D" w14:textId="77777777" w:rsidR="00872379" w:rsidRDefault="00666C67">
      <w:pPr>
        <w:pStyle w:val="Bodytext20"/>
        <w:framePr w:w="8722" w:h="10635" w:hRule="exact" w:wrap="none" w:vAnchor="page" w:hAnchor="page" w:x="1671" w:y="750"/>
        <w:shd w:val="clear" w:color="auto" w:fill="auto"/>
        <w:spacing w:line="226" w:lineRule="exact"/>
        <w:ind w:left="720"/>
      </w:pPr>
      <w:r>
        <w:t>1. Tento dodatek č. 1 se vyhotovuje ve dvou stejnopisech, přičemž každá ze stran obdrží po jednom vyhotovení. Tento dodatek č. 1 nabývá platnosti a účinnosti dnem jeho podpisu oběma smluvními stranami.</w:t>
      </w:r>
    </w:p>
    <w:p w14:paraId="1A43181E" w14:textId="231F3E48" w:rsidR="00872379" w:rsidRDefault="00666C67" w:rsidP="00666C67">
      <w:pPr>
        <w:pStyle w:val="Bodytext40"/>
        <w:framePr w:w="8986" w:h="2131" w:hRule="exact" w:wrap="none" w:vAnchor="page" w:hAnchor="page" w:x="1671" w:y="11793"/>
        <w:shd w:val="clear" w:color="auto" w:fill="auto"/>
        <w:tabs>
          <w:tab w:val="left" w:pos="4738"/>
        </w:tabs>
        <w:spacing w:before="0" w:after="0"/>
        <w:rPr>
          <w:color w:val="0070C0"/>
        </w:rPr>
      </w:pPr>
      <w:r>
        <w:rPr>
          <w:rStyle w:val="Bodytext4105pt"/>
        </w:rPr>
        <w:t xml:space="preserve">V </w:t>
      </w:r>
      <w:r>
        <w:t xml:space="preserve">Praze, dne: </w:t>
      </w:r>
      <w:r>
        <w:rPr>
          <w:color w:val="0070C0"/>
        </w:rPr>
        <w:t>24/11/2021</w:t>
      </w:r>
      <w:r>
        <w:tab/>
        <w:t xml:space="preserve">          </w:t>
      </w:r>
      <w:r>
        <w:rPr>
          <w:rStyle w:val="Bodytext4105pt"/>
        </w:rPr>
        <w:t xml:space="preserve">V </w:t>
      </w:r>
      <w:r>
        <w:t xml:space="preserve">Praze, dne: </w:t>
      </w:r>
      <w:r w:rsidRPr="00666C67">
        <w:rPr>
          <w:color w:val="0070C0"/>
        </w:rPr>
        <w:t>24/11/2021</w:t>
      </w:r>
    </w:p>
    <w:p w14:paraId="076AFC6C" w14:textId="77777777" w:rsidR="00666C67" w:rsidRDefault="00666C67" w:rsidP="00666C67">
      <w:pPr>
        <w:pStyle w:val="Bodytext40"/>
        <w:framePr w:w="8986" w:h="2131" w:hRule="exact" w:wrap="none" w:vAnchor="page" w:hAnchor="page" w:x="1671" w:y="11793"/>
        <w:shd w:val="clear" w:color="auto" w:fill="auto"/>
        <w:tabs>
          <w:tab w:val="left" w:pos="4738"/>
        </w:tabs>
        <w:spacing w:before="0" w:after="0"/>
        <w:rPr>
          <w:color w:val="0070C0"/>
        </w:rPr>
      </w:pPr>
    </w:p>
    <w:p w14:paraId="115DAC5F" w14:textId="77777777" w:rsidR="00666C67" w:rsidRDefault="00666C67" w:rsidP="00666C67">
      <w:pPr>
        <w:pStyle w:val="Bodytext40"/>
        <w:framePr w:w="8986" w:h="2131" w:hRule="exact" w:wrap="none" w:vAnchor="page" w:hAnchor="page" w:x="1671" w:y="11793"/>
        <w:shd w:val="clear" w:color="auto" w:fill="auto"/>
        <w:tabs>
          <w:tab w:val="left" w:pos="4738"/>
        </w:tabs>
        <w:spacing w:before="0" w:after="0"/>
        <w:rPr>
          <w:color w:val="0070C0"/>
        </w:rPr>
      </w:pPr>
    </w:p>
    <w:p w14:paraId="10E10763" w14:textId="77777777" w:rsidR="00666C67" w:rsidRDefault="00666C67" w:rsidP="00666C67">
      <w:pPr>
        <w:pStyle w:val="Bodytext40"/>
        <w:framePr w:w="8986" w:h="2131" w:hRule="exact" w:wrap="none" w:vAnchor="page" w:hAnchor="page" w:x="1671" w:y="11793"/>
        <w:shd w:val="clear" w:color="auto" w:fill="auto"/>
        <w:tabs>
          <w:tab w:val="left" w:pos="4738"/>
        </w:tabs>
        <w:spacing w:before="0" w:after="0"/>
        <w:rPr>
          <w:color w:val="0070C0"/>
        </w:rPr>
      </w:pPr>
    </w:p>
    <w:p w14:paraId="29E2FB78" w14:textId="77777777" w:rsidR="00666C67" w:rsidRDefault="00666C67" w:rsidP="00666C67">
      <w:pPr>
        <w:pStyle w:val="Bodytext40"/>
        <w:framePr w:w="8986" w:h="2131" w:hRule="exact" w:wrap="none" w:vAnchor="page" w:hAnchor="page" w:x="1671" w:y="11793"/>
        <w:shd w:val="clear" w:color="auto" w:fill="auto"/>
        <w:tabs>
          <w:tab w:val="left" w:pos="4738"/>
        </w:tabs>
        <w:spacing w:before="0" w:after="0"/>
        <w:rPr>
          <w:color w:val="0070C0"/>
        </w:rPr>
      </w:pPr>
    </w:p>
    <w:p w14:paraId="00A51039" w14:textId="23E52C58" w:rsidR="00666C67" w:rsidRPr="00666C67" w:rsidRDefault="00666C67" w:rsidP="00666C67">
      <w:pPr>
        <w:pStyle w:val="Bodytext40"/>
        <w:framePr w:w="8986" w:h="2131" w:hRule="exact" w:wrap="none" w:vAnchor="page" w:hAnchor="page" w:x="1671" w:y="11793"/>
        <w:shd w:val="clear" w:color="auto" w:fill="auto"/>
        <w:tabs>
          <w:tab w:val="left" w:pos="4738"/>
        </w:tabs>
        <w:spacing w:before="0" w:after="0"/>
        <w:rPr>
          <w:color w:val="auto"/>
        </w:rPr>
      </w:pPr>
      <w:r>
        <w:rPr>
          <w:color w:val="0070C0"/>
        </w:rPr>
        <w:t xml:space="preserve">                                                                                                         </w:t>
      </w:r>
      <w:r w:rsidRPr="00666C67">
        <w:rPr>
          <w:color w:val="auto"/>
        </w:rPr>
        <w:t>Josef Vágner</w:t>
      </w:r>
    </w:p>
    <w:p w14:paraId="0B619637" w14:textId="6B77BF9C" w:rsidR="00666C67" w:rsidRDefault="00666C67" w:rsidP="00666C67">
      <w:pPr>
        <w:pStyle w:val="Bodytext20"/>
        <w:framePr w:w="9031" w:wrap="none" w:vAnchor="page" w:hAnchor="page" w:x="1681" w:y="13036"/>
        <w:shd w:val="clear" w:color="auto" w:fill="auto"/>
        <w:spacing w:line="232" w:lineRule="exact"/>
        <w:ind w:right="6038" w:firstLine="0"/>
        <w:jc w:val="left"/>
      </w:pPr>
      <w:r>
        <w:t>Egon Kulhánek, ředitel divadla</w:t>
      </w:r>
    </w:p>
    <w:p w14:paraId="236C1AC7" w14:textId="449700D9" w:rsidR="00666C67" w:rsidRDefault="00666C67" w:rsidP="00666C67">
      <w:pPr>
        <w:pStyle w:val="Bodytext20"/>
        <w:framePr w:w="9031" w:wrap="none" w:vAnchor="page" w:hAnchor="page" w:x="1681" w:y="13036"/>
        <w:shd w:val="clear" w:color="auto" w:fill="auto"/>
        <w:spacing w:line="232" w:lineRule="exact"/>
        <w:ind w:right="6038" w:firstLine="0"/>
        <w:jc w:val="left"/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14:paraId="1A431820" w14:textId="26CD3AAD" w:rsidR="00872379" w:rsidRDefault="00666C67" w:rsidP="00666C67">
      <w:pPr>
        <w:pStyle w:val="Bodytext20"/>
        <w:framePr w:w="9031" w:wrap="none" w:vAnchor="page" w:hAnchor="page" w:x="1681" w:y="13036"/>
        <w:shd w:val="clear" w:color="auto" w:fill="auto"/>
        <w:spacing w:line="232" w:lineRule="exact"/>
        <w:ind w:right="6038" w:firstLine="0"/>
        <w:jc w:val="left"/>
      </w:pPr>
      <w:r>
        <w:t xml:space="preserve">                                                        </w:t>
      </w:r>
    </w:p>
    <w:p w14:paraId="1A431821" w14:textId="77777777" w:rsidR="00872379" w:rsidRDefault="00872379">
      <w:pPr>
        <w:rPr>
          <w:sz w:val="2"/>
          <w:szCs w:val="2"/>
        </w:rPr>
      </w:pPr>
    </w:p>
    <w:sectPr w:rsidR="0087237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FE94" w14:textId="77777777" w:rsidR="005D3877" w:rsidRDefault="005D3877">
      <w:r>
        <w:separator/>
      </w:r>
    </w:p>
  </w:endnote>
  <w:endnote w:type="continuationSeparator" w:id="0">
    <w:p w14:paraId="62236791" w14:textId="77777777" w:rsidR="005D3877" w:rsidRDefault="005D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9577" w14:textId="77777777" w:rsidR="005D3877" w:rsidRDefault="005D3877"/>
  </w:footnote>
  <w:footnote w:type="continuationSeparator" w:id="0">
    <w:p w14:paraId="2CD7C482" w14:textId="77777777" w:rsidR="005D3877" w:rsidRDefault="005D38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2B6"/>
    <w:multiLevelType w:val="multilevel"/>
    <w:tmpl w:val="BFFA8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C6CB9"/>
    <w:multiLevelType w:val="multilevel"/>
    <w:tmpl w:val="97F05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379"/>
    <w:rsid w:val="004A15B7"/>
    <w:rsid w:val="005D3877"/>
    <w:rsid w:val="00666C67"/>
    <w:rsid w:val="00872379"/>
    <w:rsid w:val="00E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1802"/>
  <w15:docId w15:val="{09D2CC1A-3EB8-4D1F-AF72-71B054F4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Yu Mincho" w:eastAsia="Yu Mincho" w:hAnsi="Yu Mincho" w:cs="Yu Mincho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2">
    <w:name w:val="Heading #1 (2)_"/>
    <w:basedOn w:val="Standardnpsmoodstavce"/>
    <w:link w:val="Heading120"/>
    <w:rPr>
      <w:rFonts w:ascii="Yu Mincho" w:eastAsia="Yu Mincho" w:hAnsi="Yu Mincho" w:cs="Yu Mincho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3">
    <w:name w:val="Heading #1 (3)_"/>
    <w:basedOn w:val="Standardnpsmoodstavce"/>
    <w:link w:val="Heading1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">
    <w:name w:val="Body text (4) + 10.5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30" w:lineRule="exact"/>
      <w:ind w:hanging="320"/>
      <w:jc w:val="both"/>
      <w:outlineLvl w:val="1"/>
    </w:pPr>
    <w:rPr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  <w:ind w:hanging="320"/>
      <w:jc w:val="both"/>
    </w:pPr>
    <w:rPr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20" w:line="230" w:lineRule="exact"/>
      <w:jc w:val="center"/>
      <w:outlineLvl w:val="0"/>
    </w:pPr>
    <w:rPr>
      <w:rFonts w:ascii="Yu Mincho" w:eastAsia="Yu Mincho" w:hAnsi="Yu Mincho" w:cs="Yu Mincho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  <w:jc w:val="center"/>
    </w:pPr>
    <w:rPr>
      <w:b/>
      <w:bCs/>
      <w:sz w:val="21"/>
      <w:szCs w:val="21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220" w:line="226" w:lineRule="exact"/>
      <w:jc w:val="center"/>
      <w:outlineLvl w:val="0"/>
    </w:pPr>
    <w:rPr>
      <w:rFonts w:ascii="Yu Mincho" w:eastAsia="Yu Mincho" w:hAnsi="Yu Mincho" w:cs="Yu Mincho"/>
      <w:sz w:val="20"/>
      <w:szCs w:val="20"/>
    </w:rPr>
  </w:style>
  <w:style w:type="paragraph" w:customStyle="1" w:styleId="Heading130">
    <w:name w:val="Heading #1 (3)"/>
    <w:basedOn w:val="Normln"/>
    <w:link w:val="Heading13"/>
    <w:pPr>
      <w:shd w:val="clear" w:color="auto" w:fill="FFFFFF"/>
      <w:spacing w:before="220" w:line="226" w:lineRule="exact"/>
      <w:jc w:val="center"/>
      <w:outlineLvl w:val="0"/>
    </w:pPr>
    <w:rPr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60" w:after="1160" w:line="232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1757</Characters>
  <Application>Microsoft Office Word</Application>
  <DocSecurity>0</DocSecurity>
  <Lines>14</Lines>
  <Paragraphs>4</Paragraphs>
  <ScaleCrop>false</ScaleCrop>
  <Company>Hudební divadlo Karlín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2021-11-26T11:46:00Z</dcterms:created>
  <dcterms:modified xsi:type="dcterms:W3CDTF">2021-11-30T09:25:00Z</dcterms:modified>
</cp:coreProperties>
</file>