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D31" w:rsidRDefault="00140C34">
      <w:pPr>
        <w:spacing w:after="213" w:line="259" w:lineRule="auto"/>
        <w:ind w:left="0" w:right="29" w:firstLine="0"/>
        <w:jc w:val="center"/>
      </w:pPr>
      <w:r>
        <w:rPr>
          <w:b/>
        </w:rPr>
        <w:t xml:space="preserve">Smlouva  </w:t>
      </w:r>
    </w:p>
    <w:p w:rsidR="00EE7D31" w:rsidRDefault="00140C34">
      <w:pPr>
        <w:pStyle w:val="Nadpis1"/>
        <w:spacing w:after="297"/>
        <w:ind w:left="16" w:right="36"/>
      </w:pPr>
      <w:r>
        <w:t xml:space="preserve"> </w:t>
      </w:r>
      <w:r>
        <w:t xml:space="preserve">„Dodávka užívacích práv ("Licencí") k programovým produktům společnosti Microsoft </w:t>
      </w:r>
      <w:proofErr w:type="spellStart"/>
      <w:r>
        <w:t>Corporation</w:t>
      </w:r>
      <w:proofErr w:type="spellEnd"/>
      <w:r>
        <w:t xml:space="preserve"> v rámci licenčního programu Microsoft </w:t>
      </w:r>
      <w:proofErr w:type="spellStart"/>
      <w:r>
        <w:t>Enrollment</w:t>
      </w:r>
      <w:proofErr w:type="spellEnd"/>
      <w:r>
        <w:t xml:space="preserve"> </w:t>
      </w:r>
      <w:proofErr w:type="spellStart"/>
      <w:r>
        <w:t>for</w:t>
      </w:r>
      <w:proofErr w:type="spellEnd"/>
      <w:r>
        <w:t xml:space="preserve"> </w:t>
      </w:r>
      <w:proofErr w:type="spellStart"/>
      <w:r>
        <w:t>Education</w:t>
      </w:r>
      <w:proofErr w:type="spellEnd"/>
      <w:r>
        <w:t xml:space="preserve"> </w:t>
      </w:r>
      <w:proofErr w:type="spellStart"/>
      <w:r>
        <w:t>Solution</w:t>
      </w:r>
      <w:proofErr w:type="spellEnd"/>
      <w:r>
        <w:t xml:space="preserve"> včetně poskytování souvisejících služeb“</w:t>
      </w:r>
      <w:r>
        <w:t xml:space="preserve"> </w:t>
      </w:r>
    </w:p>
    <w:p w:rsidR="00EE7D31" w:rsidRDefault="00140C34">
      <w:pPr>
        <w:spacing w:after="4" w:line="259" w:lineRule="auto"/>
        <w:ind w:left="-3"/>
        <w:jc w:val="left"/>
      </w:pPr>
      <w:r>
        <w:rPr>
          <w:b/>
        </w:rPr>
        <w:t xml:space="preserve">Smluvní strany: </w:t>
      </w:r>
    </w:p>
    <w:p w:rsidR="00EE7D31" w:rsidRDefault="00140C34">
      <w:pPr>
        <w:spacing w:after="275" w:line="259" w:lineRule="auto"/>
        <w:ind w:left="1" w:firstLine="0"/>
        <w:jc w:val="left"/>
      </w:pPr>
      <w:r>
        <w:rPr>
          <w:b/>
        </w:rPr>
        <w:t xml:space="preserve">1.  </w:t>
      </w:r>
      <w:r w:rsidR="00061FF3">
        <w:rPr>
          <w:b/>
        </w:rPr>
        <w:t>Střední škola uměleckoprůmyslová Ústí nad Orlicí</w:t>
      </w:r>
    </w:p>
    <w:p w:rsidR="00EE7D31" w:rsidRDefault="00140C34">
      <w:pPr>
        <w:spacing w:after="17" w:line="259" w:lineRule="auto"/>
        <w:ind w:left="704"/>
        <w:jc w:val="left"/>
      </w:pPr>
      <w:r>
        <w:t xml:space="preserve">Sídlo:  </w:t>
      </w:r>
      <w:r w:rsidR="00061FF3">
        <w:t>Zahradní 541, Ústí nad Orlicí, 562 01</w:t>
      </w:r>
      <w:r>
        <w:t xml:space="preserve"> </w:t>
      </w:r>
    </w:p>
    <w:p w:rsidR="00EE7D31" w:rsidRDefault="00140C34">
      <w:pPr>
        <w:spacing w:after="17" w:line="259" w:lineRule="auto"/>
        <w:ind w:left="704"/>
        <w:jc w:val="left"/>
      </w:pPr>
      <w:r>
        <w:t xml:space="preserve">Zastoupený:  </w:t>
      </w:r>
      <w:r w:rsidR="00061FF3">
        <w:t xml:space="preserve">Ing. Zdeňkem </w:t>
      </w:r>
      <w:proofErr w:type="spellStart"/>
      <w:r w:rsidR="00061FF3">
        <w:t>Salingerem</w:t>
      </w:r>
      <w:proofErr w:type="spellEnd"/>
      <w:r w:rsidR="00061FF3">
        <w:t>, ředitelem školy</w:t>
      </w:r>
    </w:p>
    <w:p w:rsidR="00EE7D31" w:rsidRDefault="00140C34">
      <w:pPr>
        <w:spacing w:after="17" w:line="259" w:lineRule="auto"/>
        <w:ind w:left="704"/>
        <w:jc w:val="left"/>
      </w:pPr>
      <w:r>
        <w:t xml:space="preserve">Kontaktní osoba: </w:t>
      </w:r>
      <w:r w:rsidR="00061FF3">
        <w:t>Ing. Jan Hroch, Pavel Vomáčka</w:t>
      </w:r>
      <w:r>
        <w:t xml:space="preserve"> </w:t>
      </w:r>
    </w:p>
    <w:p w:rsidR="00EE7D31" w:rsidRDefault="00140C34">
      <w:pPr>
        <w:spacing w:after="17" w:line="259" w:lineRule="auto"/>
        <w:ind w:left="704"/>
        <w:jc w:val="left"/>
      </w:pPr>
      <w:proofErr w:type="spellStart"/>
      <w:r>
        <w:t>E_mail</w:t>
      </w:r>
      <w:proofErr w:type="spellEnd"/>
      <w:r>
        <w:t>:</w:t>
      </w:r>
      <w:r>
        <w:rPr>
          <w:color w:val="FF0000"/>
        </w:rPr>
        <w:t xml:space="preserve"> </w:t>
      </w:r>
      <w:hyperlink r:id="rId5" w:history="1">
        <w:r w:rsidR="00061FF3" w:rsidRPr="00061FF3">
          <w:rPr>
            <w:rStyle w:val="Hypertextovodkaz"/>
            <w:color w:val="auto"/>
          </w:rPr>
          <w:t>jhroch@ssup.cz</w:t>
        </w:r>
      </w:hyperlink>
      <w:r w:rsidR="00061FF3" w:rsidRPr="00061FF3">
        <w:rPr>
          <w:color w:val="auto"/>
        </w:rPr>
        <w:t>, pvomacka@ssuo.cz</w:t>
      </w:r>
      <w:r w:rsidRPr="00061FF3">
        <w:rPr>
          <w:color w:val="auto"/>
        </w:rPr>
        <w:t xml:space="preserve"> </w:t>
      </w:r>
    </w:p>
    <w:p w:rsidR="00EE7D31" w:rsidRDefault="00140C34">
      <w:pPr>
        <w:spacing w:after="264" w:line="259" w:lineRule="auto"/>
        <w:ind w:left="704" w:right="6642"/>
        <w:jc w:val="left"/>
      </w:pPr>
      <w:r>
        <w:t>Telefon:</w:t>
      </w:r>
      <w:r w:rsidR="00061FF3">
        <w:t>4565182 465518118</w:t>
      </w:r>
      <w:r>
        <w:rPr>
          <w:color w:val="FF0000"/>
        </w:rPr>
        <w:t xml:space="preserve">  </w:t>
      </w:r>
      <w:r>
        <w:t xml:space="preserve">Bankovní spojení: </w:t>
      </w:r>
      <w:proofErr w:type="spellStart"/>
      <w:proofErr w:type="gramStart"/>
      <w:r>
        <w:t>č.ú</w:t>
      </w:r>
      <w:proofErr w:type="spellEnd"/>
      <w:r>
        <w:t>.</w:t>
      </w:r>
      <w:r w:rsidR="00061FF3">
        <w:t xml:space="preserve"> 15737611/0100</w:t>
      </w:r>
      <w:proofErr w:type="gramEnd"/>
      <w:r>
        <w:t xml:space="preserve"> </w:t>
      </w:r>
      <w:r>
        <w:tab/>
        <w:t xml:space="preserve"> </w:t>
      </w:r>
      <w:r>
        <w:t>IČ</w:t>
      </w:r>
      <w:r>
        <w:t>O:</w:t>
      </w:r>
      <w:r w:rsidR="00061FF3">
        <w:t>00087408</w:t>
      </w:r>
      <w:r>
        <w:t xml:space="preserve"> </w:t>
      </w:r>
      <w:r>
        <w:tab/>
        <w:t xml:space="preserve"> </w:t>
      </w:r>
      <w:r>
        <w:t xml:space="preserve">DIČ: </w:t>
      </w:r>
      <w:r w:rsidR="00061FF3">
        <w:t>CZ</w:t>
      </w:r>
      <w:r w:rsidR="00762FBC">
        <w:t>00087408</w:t>
      </w:r>
      <w:r>
        <w:t xml:space="preserve">  </w:t>
      </w:r>
    </w:p>
    <w:p w:rsidR="00EE7D31" w:rsidRDefault="00140C34">
      <w:pPr>
        <w:spacing w:after="259"/>
        <w:ind w:left="0" w:right="13"/>
      </w:pPr>
      <w:r>
        <w:t>(dále jen „objednatel“, „</w:t>
      </w:r>
      <w:proofErr w:type="gramStart"/>
      <w:r>
        <w:t>příjemce“ )</w:t>
      </w:r>
      <w:proofErr w:type="gramEnd"/>
      <w:r>
        <w:t xml:space="preserve"> </w:t>
      </w:r>
    </w:p>
    <w:p w:rsidR="00EE7D31" w:rsidRDefault="00140C34">
      <w:pPr>
        <w:tabs>
          <w:tab w:val="center" w:pos="4681"/>
        </w:tabs>
        <w:spacing w:after="4" w:line="259" w:lineRule="auto"/>
        <w:ind w:left="-13" w:firstLine="0"/>
        <w:jc w:val="left"/>
      </w:pPr>
      <w:r>
        <w:rPr>
          <w:b/>
        </w:rPr>
        <w:t xml:space="preserve">2.  </w:t>
      </w:r>
      <w:r>
        <w:t xml:space="preserve"> </w:t>
      </w:r>
      <w:r>
        <w:tab/>
      </w:r>
      <w:proofErr w:type="spellStart"/>
      <w:r>
        <w:rPr>
          <w:b/>
        </w:rPr>
        <w:t>SoftwareONE</w:t>
      </w:r>
      <w:proofErr w:type="spellEnd"/>
      <w:r>
        <w:rPr>
          <w:b/>
        </w:rPr>
        <w:t xml:space="preserve"> Czech Republic s.r.o.</w:t>
      </w:r>
      <w:r>
        <w:t xml:space="preserve"> </w:t>
      </w:r>
    </w:p>
    <w:p w:rsidR="00EE7D31" w:rsidRDefault="00140C34">
      <w:pPr>
        <w:tabs>
          <w:tab w:val="center" w:pos="991"/>
          <w:tab w:val="center" w:pos="2127"/>
          <w:tab w:val="center" w:pos="4975"/>
        </w:tabs>
        <w:ind w:left="0" w:firstLine="0"/>
        <w:jc w:val="left"/>
      </w:pPr>
      <w:r>
        <w:rPr>
          <w:rFonts w:ascii="Calibri" w:eastAsia="Calibri" w:hAnsi="Calibri" w:cs="Calibri"/>
        </w:rPr>
        <w:tab/>
      </w:r>
      <w:r>
        <w:t xml:space="preserve">Sídlo:   </w:t>
      </w:r>
      <w:r>
        <w:tab/>
        <w:t xml:space="preserve"> </w:t>
      </w:r>
      <w:r>
        <w:tab/>
      </w:r>
      <w:r>
        <w:t>Vyskočilova 1410/1, Michle, 140 00 Praha 4</w:t>
      </w:r>
      <w:r>
        <w:t xml:space="preserve"> </w:t>
      </w:r>
    </w:p>
    <w:p w:rsidR="00EE7D31" w:rsidRDefault="00140C34">
      <w:pPr>
        <w:ind w:left="721" w:right="13"/>
      </w:pPr>
      <w:r>
        <w:t xml:space="preserve">Zapsaný v </w:t>
      </w:r>
      <w:r>
        <w:t>obchodním rejstříku vedeném u Městského soudu v Praze</w:t>
      </w:r>
      <w:r>
        <w:t xml:space="preserve"> </w:t>
      </w:r>
    </w:p>
    <w:tbl>
      <w:tblPr>
        <w:tblStyle w:val="TableGrid"/>
        <w:tblW w:w="7752" w:type="dxa"/>
        <w:tblInd w:w="711" w:type="dxa"/>
        <w:tblCellMar>
          <w:top w:w="0" w:type="dxa"/>
          <w:left w:w="0" w:type="dxa"/>
          <w:bottom w:w="0" w:type="dxa"/>
          <w:right w:w="0" w:type="dxa"/>
        </w:tblCellMar>
        <w:tblLook w:val="04A0" w:firstRow="1" w:lastRow="0" w:firstColumn="1" w:lastColumn="0" w:noHBand="0" w:noVBand="1"/>
      </w:tblPr>
      <w:tblGrid>
        <w:gridCol w:w="2124"/>
        <w:gridCol w:w="5628"/>
      </w:tblGrid>
      <w:tr w:rsidR="00EE7D31">
        <w:trPr>
          <w:trHeight w:val="231"/>
        </w:trPr>
        <w:tc>
          <w:tcPr>
            <w:tcW w:w="2124" w:type="dxa"/>
            <w:tcBorders>
              <w:top w:val="nil"/>
              <w:left w:val="nil"/>
              <w:bottom w:val="nil"/>
              <w:right w:val="nil"/>
            </w:tcBorders>
          </w:tcPr>
          <w:p w:rsidR="00EE7D31" w:rsidRDefault="00140C34">
            <w:pPr>
              <w:spacing w:after="0" w:line="259" w:lineRule="auto"/>
              <w:ind w:left="0" w:firstLine="0"/>
              <w:jc w:val="left"/>
            </w:pPr>
            <w:r>
              <w:t>Spisová značka:</w:t>
            </w:r>
            <w:r>
              <w:t xml:space="preserve">  </w:t>
            </w:r>
          </w:p>
        </w:tc>
        <w:tc>
          <w:tcPr>
            <w:tcW w:w="5628" w:type="dxa"/>
            <w:tcBorders>
              <w:top w:val="nil"/>
              <w:left w:val="nil"/>
              <w:bottom w:val="nil"/>
              <w:right w:val="nil"/>
            </w:tcBorders>
          </w:tcPr>
          <w:p w:rsidR="00EE7D31" w:rsidRDefault="00140C34">
            <w:pPr>
              <w:spacing w:after="0" w:line="259" w:lineRule="auto"/>
              <w:ind w:left="0" w:firstLine="0"/>
              <w:jc w:val="left"/>
            </w:pPr>
            <w:r>
              <w:t>C 188674</w:t>
            </w:r>
            <w:r>
              <w:t xml:space="preserve"> </w:t>
            </w:r>
          </w:p>
        </w:tc>
      </w:tr>
      <w:tr w:rsidR="00EE7D31">
        <w:trPr>
          <w:trHeight w:val="253"/>
        </w:trPr>
        <w:tc>
          <w:tcPr>
            <w:tcW w:w="2124" w:type="dxa"/>
            <w:tcBorders>
              <w:top w:val="nil"/>
              <w:left w:val="nil"/>
              <w:bottom w:val="nil"/>
              <w:right w:val="nil"/>
            </w:tcBorders>
          </w:tcPr>
          <w:p w:rsidR="00EE7D31" w:rsidRDefault="00140C34">
            <w:pPr>
              <w:spacing w:after="0" w:line="259" w:lineRule="auto"/>
              <w:ind w:left="0" w:firstLine="0"/>
              <w:jc w:val="left"/>
            </w:pPr>
            <w:r>
              <w:t xml:space="preserve">Zastoupený:   </w:t>
            </w:r>
          </w:p>
        </w:tc>
        <w:tc>
          <w:tcPr>
            <w:tcW w:w="5628" w:type="dxa"/>
            <w:tcBorders>
              <w:top w:val="nil"/>
              <w:left w:val="nil"/>
              <w:bottom w:val="nil"/>
              <w:right w:val="nil"/>
            </w:tcBorders>
          </w:tcPr>
          <w:p w:rsidR="00EE7D31" w:rsidRDefault="00140C34">
            <w:pPr>
              <w:spacing w:after="0" w:line="259" w:lineRule="auto"/>
              <w:ind w:left="0" w:firstLine="0"/>
              <w:jc w:val="left"/>
            </w:pPr>
            <w:r>
              <w:t>Petrem Pánkem a Lukášem Zimou, prokuristy</w:t>
            </w:r>
            <w:r>
              <w:t xml:space="preserve"> </w:t>
            </w:r>
          </w:p>
        </w:tc>
      </w:tr>
      <w:tr w:rsidR="00EE7D31">
        <w:trPr>
          <w:trHeight w:val="506"/>
        </w:trPr>
        <w:tc>
          <w:tcPr>
            <w:tcW w:w="2124" w:type="dxa"/>
            <w:tcBorders>
              <w:top w:val="nil"/>
              <w:left w:val="nil"/>
              <w:bottom w:val="nil"/>
              <w:right w:val="nil"/>
            </w:tcBorders>
          </w:tcPr>
          <w:p w:rsidR="00EE7D31" w:rsidRDefault="00140C34">
            <w:pPr>
              <w:spacing w:after="0" w:line="259" w:lineRule="auto"/>
              <w:ind w:left="0" w:firstLine="0"/>
              <w:jc w:val="left"/>
            </w:pPr>
            <w:r>
              <w:t xml:space="preserve">Kontaktní osoba: </w:t>
            </w:r>
          </w:p>
        </w:tc>
        <w:tc>
          <w:tcPr>
            <w:tcW w:w="5628" w:type="dxa"/>
            <w:tcBorders>
              <w:top w:val="nil"/>
              <w:left w:val="nil"/>
              <w:bottom w:val="nil"/>
              <w:right w:val="nil"/>
            </w:tcBorders>
          </w:tcPr>
          <w:p w:rsidR="00EE7D31" w:rsidRDefault="00140C34">
            <w:pPr>
              <w:spacing w:after="0" w:line="259" w:lineRule="auto"/>
              <w:ind w:left="0" w:firstLine="0"/>
              <w:jc w:val="left"/>
            </w:pPr>
            <w:r>
              <w:t>Roman Hlaváč, e</w:t>
            </w:r>
            <w:r>
              <w:t>-</w:t>
            </w:r>
            <w:r>
              <w:t>mail: roman.hlavac@softwareone.com, tel.: +420 737 264 091</w:t>
            </w:r>
            <w:r>
              <w:t xml:space="preserve"> </w:t>
            </w:r>
          </w:p>
        </w:tc>
      </w:tr>
      <w:tr w:rsidR="00EE7D31">
        <w:trPr>
          <w:trHeight w:val="252"/>
        </w:trPr>
        <w:tc>
          <w:tcPr>
            <w:tcW w:w="2124" w:type="dxa"/>
            <w:tcBorders>
              <w:top w:val="nil"/>
              <w:left w:val="nil"/>
              <w:bottom w:val="nil"/>
              <w:right w:val="nil"/>
            </w:tcBorders>
          </w:tcPr>
          <w:p w:rsidR="00EE7D31" w:rsidRDefault="00140C34">
            <w:pPr>
              <w:spacing w:after="0" w:line="259" w:lineRule="auto"/>
              <w:ind w:left="0" w:firstLine="0"/>
              <w:jc w:val="left"/>
            </w:pPr>
            <w:r>
              <w:t xml:space="preserve">Bankovní spojení: </w:t>
            </w:r>
          </w:p>
        </w:tc>
        <w:tc>
          <w:tcPr>
            <w:tcW w:w="5628" w:type="dxa"/>
            <w:tcBorders>
              <w:top w:val="nil"/>
              <w:left w:val="nil"/>
              <w:bottom w:val="nil"/>
              <w:right w:val="nil"/>
            </w:tcBorders>
          </w:tcPr>
          <w:p w:rsidR="00EE7D31" w:rsidRDefault="00140C34">
            <w:pPr>
              <w:spacing w:after="0" w:line="259" w:lineRule="auto"/>
              <w:ind w:left="0" w:firstLine="0"/>
              <w:jc w:val="left"/>
            </w:pPr>
            <w:proofErr w:type="spellStart"/>
            <w:r>
              <w:t>UniCredit</w:t>
            </w:r>
            <w:proofErr w:type="spellEnd"/>
            <w:r>
              <w:t xml:space="preserve"> Bank Czech Republic and Slovakia, a.s.</w:t>
            </w:r>
            <w:r>
              <w:t xml:space="preserve"> </w:t>
            </w:r>
          </w:p>
        </w:tc>
      </w:tr>
      <w:tr w:rsidR="00EE7D31">
        <w:trPr>
          <w:trHeight w:val="253"/>
        </w:trPr>
        <w:tc>
          <w:tcPr>
            <w:tcW w:w="2124" w:type="dxa"/>
            <w:tcBorders>
              <w:top w:val="nil"/>
              <w:left w:val="nil"/>
              <w:bottom w:val="nil"/>
              <w:right w:val="nil"/>
            </w:tcBorders>
          </w:tcPr>
          <w:p w:rsidR="00EE7D31" w:rsidRDefault="00140C34">
            <w:pPr>
              <w:spacing w:after="0" w:line="259" w:lineRule="auto"/>
              <w:ind w:left="0" w:firstLine="0"/>
              <w:jc w:val="left"/>
            </w:pPr>
            <w:r>
              <w:t xml:space="preserve">č. </w:t>
            </w:r>
            <w:proofErr w:type="spellStart"/>
            <w:r>
              <w:t>ú.</w:t>
            </w:r>
            <w:proofErr w:type="spellEnd"/>
            <w:r>
              <w:t xml:space="preserve"> </w:t>
            </w:r>
          </w:p>
        </w:tc>
        <w:tc>
          <w:tcPr>
            <w:tcW w:w="5628" w:type="dxa"/>
            <w:tcBorders>
              <w:top w:val="nil"/>
              <w:left w:val="nil"/>
              <w:bottom w:val="nil"/>
              <w:right w:val="nil"/>
            </w:tcBorders>
          </w:tcPr>
          <w:p w:rsidR="00EE7D31" w:rsidRDefault="00140C34">
            <w:pPr>
              <w:spacing w:after="0" w:line="259" w:lineRule="auto"/>
              <w:ind w:left="0" w:firstLine="0"/>
              <w:jc w:val="left"/>
            </w:pPr>
            <w:r>
              <w:t>1161811001/2700</w:t>
            </w:r>
            <w:r>
              <w:t xml:space="preserve"> </w:t>
            </w:r>
          </w:p>
        </w:tc>
      </w:tr>
      <w:tr w:rsidR="00EE7D31">
        <w:trPr>
          <w:trHeight w:val="253"/>
        </w:trPr>
        <w:tc>
          <w:tcPr>
            <w:tcW w:w="2124" w:type="dxa"/>
            <w:tcBorders>
              <w:top w:val="nil"/>
              <w:left w:val="nil"/>
              <w:bottom w:val="nil"/>
              <w:right w:val="nil"/>
            </w:tcBorders>
          </w:tcPr>
          <w:p w:rsidR="00EE7D31" w:rsidRDefault="00140C34">
            <w:pPr>
              <w:spacing w:after="0" w:line="259" w:lineRule="auto"/>
              <w:ind w:left="0" w:firstLine="0"/>
              <w:jc w:val="left"/>
            </w:pPr>
            <w:r>
              <w:t>IČ</w:t>
            </w:r>
            <w:r>
              <w:t xml:space="preserve">O: </w:t>
            </w:r>
          </w:p>
        </w:tc>
        <w:tc>
          <w:tcPr>
            <w:tcW w:w="5628" w:type="dxa"/>
            <w:tcBorders>
              <w:top w:val="nil"/>
              <w:left w:val="nil"/>
              <w:bottom w:val="nil"/>
              <w:right w:val="nil"/>
            </w:tcBorders>
          </w:tcPr>
          <w:p w:rsidR="00EE7D31" w:rsidRDefault="00140C34">
            <w:pPr>
              <w:spacing w:after="0" w:line="259" w:lineRule="auto"/>
              <w:ind w:left="0" w:firstLine="0"/>
              <w:jc w:val="left"/>
            </w:pPr>
            <w:r>
              <w:t>242</w:t>
            </w:r>
            <w:r>
              <w:t xml:space="preserve"> </w:t>
            </w:r>
            <w:r>
              <w:t>07</w:t>
            </w:r>
            <w:r>
              <w:t xml:space="preserve"> </w:t>
            </w:r>
            <w:r>
              <w:t>519</w:t>
            </w:r>
            <w:r>
              <w:t xml:space="preserve"> </w:t>
            </w:r>
          </w:p>
        </w:tc>
      </w:tr>
      <w:tr w:rsidR="00EE7D31">
        <w:trPr>
          <w:trHeight w:val="230"/>
        </w:trPr>
        <w:tc>
          <w:tcPr>
            <w:tcW w:w="2124" w:type="dxa"/>
            <w:tcBorders>
              <w:top w:val="nil"/>
              <w:left w:val="nil"/>
              <w:bottom w:val="nil"/>
              <w:right w:val="nil"/>
            </w:tcBorders>
          </w:tcPr>
          <w:p w:rsidR="00EE7D31" w:rsidRDefault="00140C34">
            <w:pPr>
              <w:spacing w:after="0" w:line="259" w:lineRule="auto"/>
              <w:ind w:left="0" w:firstLine="0"/>
              <w:jc w:val="left"/>
            </w:pPr>
            <w:r>
              <w:t xml:space="preserve">DIČ: </w:t>
            </w:r>
          </w:p>
        </w:tc>
        <w:tc>
          <w:tcPr>
            <w:tcW w:w="5628" w:type="dxa"/>
            <w:tcBorders>
              <w:top w:val="nil"/>
              <w:left w:val="nil"/>
              <w:bottom w:val="nil"/>
              <w:right w:val="nil"/>
            </w:tcBorders>
          </w:tcPr>
          <w:p w:rsidR="00EE7D31" w:rsidRDefault="00140C34">
            <w:pPr>
              <w:spacing w:after="0" w:line="259" w:lineRule="auto"/>
              <w:ind w:left="1" w:firstLine="0"/>
              <w:jc w:val="left"/>
            </w:pPr>
            <w:r>
              <w:t>CZ24207519</w:t>
            </w:r>
            <w:r>
              <w:t xml:space="preserve"> </w:t>
            </w:r>
          </w:p>
        </w:tc>
      </w:tr>
    </w:tbl>
    <w:p w:rsidR="00EE7D31" w:rsidRDefault="00140C34">
      <w:pPr>
        <w:spacing w:after="225"/>
        <w:ind w:left="0" w:right="13"/>
      </w:pPr>
      <w:r>
        <w:t>(dále jen „dodavatel“, „poskytovatel“)</w:t>
      </w:r>
      <w:r>
        <w:t xml:space="preserve"> </w:t>
      </w:r>
    </w:p>
    <w:p w:rsidR="00EE7D31" w:rsidRDefault="00140C34">
      <w:pPr>
        <w:spacing w:after="0" w:line="259" w:lineRule="auto"/>
        <w:ind w:left="16" w:right="3"/>
        <w:jc w:val="center"/>
      </w:pPr>
      <w:r>
        <w:t>Článek I.</w:t>
      </w:r>
      <w:r>
        <w:t xml:space="preserve"> </w:t>
      </w:r>
    </w:p>
    <w:p w:rsidR="00EE7D31" w:rsidRDefault="00140C34">
      <w:pPr>
        <w:pStyle w:val="Nadpis1"/>
        <w:ind w:left="16" w:right="0"/>
      </w:pPr>
      <w:r>
        <w:t>Preambule</w:t>
      </w:r>
      <w:r>
        <w:t xml:space="preserve"> </w:t>
      </w:r>
    </w:p>
    <w:p w:rsidR="00EE7D31" w:rsidRDefault="00140C34">
      <w:pPr>
        <w:spacing w:after="187"/>
        <w:ind w:left="0" w:right="13"/>
      </w:pPr>
      <w:r>
        <w:t xml:space="preserve">Smluvní strany uzavírají tuto smlouvu za účelem stanovení podmínek pro poskytování užívacích práv (dále jen "licencí") k programovým produktům společnosti Microsoft </w:t>
      </w:r>
      <w:proofErr w:type="spellStart"/>
      <w:r>
        <w:t>Corporation</w:t>
      </w:r>
      <w:proofErr w:type="spellEnd"/>
      <w:r>
        <w:t xml:space="preserve"> pro objednatele v rámci multilicenční smlouvy Microsoft </w:t>
      </w:r>
      <w:proofErr w:type="spellStart"/>
      <w:r>
        <w:t>Enrollment</w:t>
      </w:r>
      <w:proofErr w:type="spellEnd"/>
      <w:r>
        <w:t xml:space="preserve"> </w:t>
      </w:r>
      <w:proofErr w:type="spellStart"/>
      <w:r>
        <w:t>for</w:t>
      </w:r>
      <w:proofErr w:type="spellEnd"/>
      <w:r>
        <w:t xml:space="preserve"> </w:t>
      </w:r>
      <w:proofErr w:type="spellStart"/>
      <w:r>
        <w:t>Educatio</w:t>
      </w:r>
      <w:r>
        <w:t>n</w:t>
      </w:r>
      <w:proofErr w:type="spellEnd"/>
      <w:r>
        <w:t xml:space="preserve"> </w:t>
      </w:r>
      <w:proofErr w:type="spellStart"/>
      <w:r>
        <w:t>Solution</w:t>
      </w:r>
      <w:proofErr w:type="spellEnd"/>
      <w:r>
        <w:t xml:space="preserve"> včetně souvisejících služeb. Smlouva je uzavírána v</w:t>
      </w:r>
      <w:r>
        <w:t xml:space="preserve"> </w:t>
      </w:r>
      <w:r>
        <w:t>rámci centralizovaného zadávacího řízení, evidenční číslo ve Věstníku veřejných zakázek</w:t>
      </w:r>
      <w:r>
        <w:t xml:space="preserve"> </w:t>
      </w:r>
      <w:r>
        <w:t>Z2021</w:t>
      </w:r>
      <w:r>
        <w:t>-</w:t>
      </w:r>
      <w:r>
        <w:t>024855</w:t>
      </w:r>
      <w:r>
        <w:t xml:space="preserve">, </w:t>
      </w:r>
      <w:r>
        <w:t>systémové číslo centrálního zadavatele P21V00000189.</w:t>
      </w:r>
      <w:r>
        <w:t xml:space="preserve">  </w:t>
      </w:r>
    </w:p>
    <w:p w:rsidR="00EE7D31" w:rsidRDefault="00140C34">
      <w:pPr>
        <w:spacing w:after="0" w:line="259" w:lineRule="auto"/>
        <w:ind w:left="16"/>
        <w:jc w:val="center"/>
      </w:pPr>
      <w:r>
        <w:t>Článek II.</w:t>
      </w:r>
      <w:r>
        <w:t xml:space="preserve"> </w:t>
      </w:r>
    </w:p>
    <w:p w:rsidR="00EE7D31" w:rsidRDefault="00140C34">
      <w:pPr>
        <w:pStyle w:val="Nadpis1"/>
        <w:ind w:left="16" w:right="4"/>
      </w:pPr>
      <w:r>
        <w:t>Předmět plnění smlouvy</w:t>
      </w:r>
      <w:r>
        <w:rPr>
          <w:b w:val="0"/>
        </w:rPr>
        <w:t xml:space="preserve"> </w:t>
      </w:r>
    </w:p>
    <w:p w:rsidR="00EE7D31" w:rsidRDefault="00140C34">
      <w:pPr>
        <w:spacing w:after="192"/>
        <w:ind w:left="0" w:right="13"/>
      </w:pPr>
      <w:r>
        <w:t>Předmětem plnění na základě veřejné zakázky je poskytování licencí</w:t>
      </w:r>
      <w:r>
        <w:t xml:space="preserve"> k </w:t>
      </w:r>
      <w:r>
        <w:t xml:space="preserve">programovým produktům společnosti Microsoft </w:t>
      </w:r>
      <w:proofErr w:type="spellStart"/>
      <w:r>
        <w:t>Corporation</w:t>
      </w:r>
      <w:proofErr w:type="spellEnd"/>
      <w:r>
        <w:t xml:space="preserve"> v rámci licenčního programu Microsoft </w:t>
      </w:r>
      <w:proofErr w:type="spellStart"/>
      <w:r>
        <w:t>Enrollment</w:t>
      </w:r>
      <w:proofErr w:type="spellEnd"/>
      <w:r>
        <w:t xml:space="preserve"> </w:t>
      </w:r>
      <w:proofErr w:type="spellStart"/>
      <w:r>
        <w:t>for</w:t>
      </w:r>
      <w:proofErr w:type="spellEnd"/>
      <w:r>
        <w:t xml:space="preserve"> </w:t>
      </w:r>
      <w:proofErr w:type="spellStart"/>
      <w:r>
        <w:t>Education</w:t>
      </w:r>
      <w:proofErr w:type="spellEnd"/>
      <w:r>
        <w:t xml:space="preserve"> </w:t>
      </w:r>
      <w:proofErr w:type="spellStart"/>
      <w:r>
        <w:t>Solution</w:t>
      </w:r>
      <w:proofErr w:type="spellEnd"/>
      <w:r>
        <w:t xml:space="preserve"> (dále jen </w:t>
      </w:r>
      <w:r>
        <w:t>„EES“</w:t>
      </w:r>
      <w:r>
        <w:t xml:space="preserve">) a poskytování dalších dodatečných služeb </w:t>
      </w:r>
      <w:r>
        <w:lastRenderedPageBreak/>
        <w:t>s</w:t>
      </w:r>
      <w:r>
        <w:t>pojených s využitím licencí právnické</w:t>
      </w:r>
      <w:r>
        <w:t xml:space="preserve"> osob</w:t>
      </w:r>
      <w:r>
        <w:t>ě</w:t>
      </w:r>
      <w:r>
        <w:t xml:space="preserve"> </w:t>
      </w:r>
      <w:r>
        <w:t>vykonávající činnost škol</w:t>
      </w:r>
      <w:r>
        <w:t xml:space="preserve">y nebo </w:t>
      </w:r>
      <w:r>
        <w:t>školskéh</w:t>
      </w:r>
      <w:r>
        <w:t xml:space="preserve">o </w:t>
      </w:r>
      <w:r>
        <w:t>zařízení v působnosti Pardubického kraje.</w:t>
      </w:r>
      <w:r>
        <w:t xml:space="preserve"> </w:t>
      </w:r>
      <w:r>
        <w:t>Podrobněji se předmět plnění dělí na</w:t>
      </w:r>
      <w:r>
        <w:t xml:space="preserve">:  </w:t>
      </w:r>
    </w:p>
    <w:p w:rsidR="00EE7D31" w:rsidRDefault="00140C34">
      <w:pPr>
        <w:ind w:left="0" w:right="13"/>
      </w:pPr>
      <w:r>
        <w:t xml:space="preserve">2.1. Dodávka produktu Microsoft 365 A3 </w:t>
      </w:r>
    </w:p>
    <w:p w:rsidR="00EE7D31" w:rsidRDefault="00140C34">
      <w:pPr>
        <w:numPr>
          <w:ilvl w:val="0"/>
          <w:numId w:val="1"/>
        </w:numPr>
        <w:ind w:right="13" w:hanging="348"/>
      </w:pPr>
      <w:r>
        <w:t xml:space="preserve">Windows 10 </w:t>
      </w:r>
      <w:proofErr w:type="spellStart"/>
      <w:r>
        <w:t>Education</w:t>
      </w:r>
      <w:proofErr w:type="spellEnd"/>
      <w:r>
        <w:t xml:space="preserve"> E3</w:t>
      </w:r>
      <w:r>
        <w:t xml:space="preserve"> </w:t>
      </w:r>
    </w:p>
    <w:p w:rsidR="00EE7D31" w:rsidRDefault="00140C34">
      <w:pPr>
        <w:numPr>
          <w:ilvl w:val="0"/>
          <w:numId w:val="1"/>
        </w:numPr>
        <w:ind w:right="13" w:hanging="348"/>
      </w:pPr>
      <w:r>
        <w:t>Office 365 A3</w:t>
      </w:r>
      <w:r>
        <w:t xml:space="preserve"> </w:t>
      </w:r>
    </w:p>
    <w:p w:rsidR="00EE7D31" w:rsidRDefault="00140C34">
      <w:pPr>
        <w:numPr>
          <w:ilvl w:val="0"/>
          <w:numId w:val="1"/>
        </w:numPr>
        <w:ind w:right="13" w:hanging="348"/>
      </w:pPr>
      <w:proofErr w:type="spellStart"/>
      <w:r>
        <w:t>Enterpri</w:t>
      </w:r>
      <w:r>
        <w:t>se</w:t>
      </w:r>
      <w:proofErr w:type="spellEnd"/>
      <w:r>
        <w:t xml:space="preserve"> Mobility + </w:t>
      </w:r>
      <w:proofErr w:type="spellStart"/>
      <w:r>
        <w:t>Security</w:t>
      </w:r>
      <w:proofErr w:type="spellEnd"/>
      <w:r>
        <w:t xml:space="preserve"> E3</w:t>
      </w:r>
      <w:r>
        <w:t xml:space="preserve"> </w:t>
      </w:r>
    </w:p>
    <w:p w:rsidR="00EE7D31" w:rsidRDefault="00140C34">
      <w:pPr>
        <w:numPr>
          <w:ilvl w:val="0"/>
          <w:numId w:val="1"/>
        </w:numPr>
        <w:ind w:right="13" w:hanging="348"/>
      </w:pPr>
      <w:proofErr w:type="spellStart"/>
      <w:r>
        <w:t>Minecraft</w:t>
      </w:r>
      <w:proofErr w:type="spellEnd"/>
      <w:r>
        <w:t xml:space="preserve"> </w:t>
      </w:r>
      <w:proofErr w:type="spellStart"/>
      <w:r>
        <w:t>Education</w:t>
      </w:r>
      <w:proofErr w:type="spellEnd"/>
      <w:r>
        <w:t xml:space="preserve"> </w:t>
      </w:r>
      <w:proofErr w:type="spellStart"/>
      <w:r>
        <w:t>Edition</w:t>
      </w:r>
      <w:proofErr w:type="spellEnd"/>
      <w:r>
        <w:t xml:space="preserve"> </w:t>
      </w:r>
    </w:p>
    <w:p w:rsidR="00EE7D31" w:rsidRDefault="00140C34">
      <w:pPr>
        <w:numPr>
          <w:ilvl w:val="0"/>
          <w:numId w:val="1"/>
        </w:numPr>
        <w:spacing w:after="17" w:line="259" w:lineRule="auto"/>
        <w:ind w:right="13" w:hanging="348"/>
      </w:pPr>
      <w:r>
        <w:t xml:space="preserve">Benefity </w:t>
      </w:r>
    </w:p>
    <w:p w:rsidR="00EE7D31" w:rsidRDefault="00140C34">
      <w:pPr>
        <w:ind w:left="1440" w:right="13" w:hanging="360"/>
      </w:pPr>
      <w:r>
        <w:t>a.</w:t>
      </w:r>
      <w:r>
        <w:t xml:space="preserve"> </w:t>
      </w:r>
      <w:r>
        <w:t xml:space="preserve">Oprávnění použití funkcionality </w:t>
      </w:r>
      <w:proofErr w:type="spellStart"/>
      <w:r>
        <w:t>Enterprise</w:t>
      </w:r>
      <w:proofErr w:type="spellEnd"/>
      <w:r>
        <w:t xml:space="preserve"> CAL </w:t>
      </w:r>
      <w:proofErr w:type="spellStart"/>
      <w:r>
        <w:t>Suite</w:t>
      </w:r>
      <w:proofErr w:type="spellEnd"/>
      <w:r>
        <w:t xml:space="preserve"> </w:t>
      </w:r>
      <w:r>
        <w:t xml:space="preserve">- </w:t>
      </w:r>
      <w:r>
        <w:t>nárok na instalaci neomezeného počtu serverových produktů a použití přístupových licencí CAL pro následující produkty:</w:t>
      </w:r>
      <w:r>
        <w:t xml:space="preserve"> </w:t>
      </w:r>
    </w:p>
    <w:p w:rsidR="00EE7D31" w:rsidRDefault="00140C34">
      <w:pPr>
        <w:numPr>
          <w:ilvl w:val="3"/>
          <w:numId w:val="2"/>
        </w:numPr>
        <w:ind w:right="13" w:hanging="353"/>
      </w:pPr>
      <w:r>
        <w:t>Exchange Ser</w:t>
      </w:r>
      <w:r>
        <w:t>ver</w:t>
      </w:r>
      <w:r>
        <w:t xml:space="preserve"> </w:t>
      </w:r>
    </w:p>
    <w:p w:rsidR="00EE7D31" w:rsidRDefault="00140C34">
      <w:pPr>
        <w:numPr>
          <w:ilvl w:val="3"/>
          <w:numId w:val="2"/>
        </w:numPr>
        <w:ind w:right="13" w:hanging="353"/>
      </w:pPr>
      <w:proofErr w:type="spellStart"/>
      <w:r>
        <w:t>Sharepoint</w:t>
      </w:r>
      <w:proofErr w:type="spellEnd"/>
      <w:r>
        <w:t xml:space="preserve"> Server</w:t>
      </w:r>
      <w:r>
        <w:t xml:space="preserve"> </w:t>
      </w:r>
    </w:p>
    <w:p w:rsidR="00EE7D31" w:rsidRDefault="00140C34">
      <w:pPr>
        <w:numPr>
          <w:ilvl w:val="3"/>
          <w:numId w:val="2"/>
        </w:numPr>
        <w:ind w:right="13" w:hanging="353"/>
      </w:pPr>
      <w:r>
        <w:t xml:space="preserve">Skype </w:t>
      </w:r>
      <w:proofErr w:type="spellStart"/>
      <w:r>
        <w:t>for</w:t>
      </w:r>
      <w:proofErr w:type="spellEnd"/>
      <w:r>
        <w:t xml:space="preserve"> Business Server</w:t>
      </w:r>
      <w:r>
        <w:t xml:space="preserve"> </w:t>
      </w:r>
    </w:p>
    <w:p w:rsidR="00EE7D31" w:rsidRDefault="00140C34">
      <w:pPr>
        <w:ind w:left="1091" w:right="13"/>
      </w:pPr>
      <w:r>
        <w:t>b.</w:t>
      </w:r>
      <w:r>
        <w:t xml:space="preserve"> </w:t>
      </w:r>
      <w:r>
        <w:t>Přístupové licence CAL pro následující produkty:</w:t>
      </w:r>
      <w:r>
        <w:t xml:space="preserve"> </w:t>
      </w:r>
    </w:p>
    <w:p w:rsidR="00EE7D31" w:rsidRDefault="00140C34">
      <w:pPr>
        <w:numPr>
          <w:ilvl w:val="3"/>
          <w:numId w:val="5"/>
        </w:numPr>
        <w:ind w:right="13" w:hanging="353"/>
      </w:pPr>
      <w:r>
        <w:t>Windo</w:t>
      </w:r>
      <w:r>
        <w:t>ws Server</w:t>
      </w:r>
      <w:r>
        <w:t xml:space="preserve"> </w:t>
      </w:r>
    </w:p>
    <w:p w:rsidR="00EE7D31" w:rsidRDefault="00140C34">
      <w:pPr>
        <w:numPr>
          <w:ilvl w:val="3"/>
          <w:numId w:val="5"/>
        </w:numPr>
        <w:ind w:right="13" w:hanging="353"/>
      </w:pPr>
      <w:proofErr w:type="spellStart"/>
      <w:r>
        <w:t>System</w:t>
      </w:r>
      <w:proofErr w:type="spellEnd"/>
      <w:r>
        <w:t xml:space="preserve"> Center </w:t>
      </w:r>
      <w:proofErr w:type="spellStart"/>
      <w:r>
        <w:t>Configuration</w:t>
      </w:r>
      <w:proofErr w:type="spellEnd"/>
      <w:r>
        <w:t xml:space="preserve"> </w:t>
      </w:r>
      <w:proofErr w:type="spellStart"/>
      <w:r>
        <w:t>Manager</w:t>
      </w:r>
      <w:proofErr w:type="spellEnd"/>
      <w:r>
        <w:t xml:space="preserve"> </w:t>
      </w:r>
    </w:p>
    <w:p w:rsidR="00EE7D31" w:rsidRDefault="00140C34">
      <w:pPr>
        <w:numPr>
          <w:ilvl w:val="3"/>
          <w:numId w:val="5"/>
        </w:numPr>
        <w:ind w:right="13" w:hanging="353"/>
      </w:pPr>
      <w:proofErr w:type="spellStart"/>
      <w:r>
        <w:t>System</w:t>
      </w:r>
      <w:proofErr w:type="spellEnd"/>
      <w:r>
        <w:t xml:space="preserve"> Center </w:t>
      </w:r>
      <w:proofErr w:type="spellStart"/>
      <w:r>
        <w:t>Endpoint</w:t>
      </w:r>
      <w:proofErr w:type="spellEnd"/>
      <w:r>
        <w:t xml:space="preserve"> </w:t>
      </w:r>
      <w:proofErr w:type="spellStart"/>
      <w:r>
        <w:t>Protection</w:t>
      </w:r>
      <w:proofErr w:type="spellEnd"/>
      <w:r>
        <w:t xml:space="preserve"> </w:t>
      </w:r>
    </w:p>
    <w:p w:rsidR="00EE7D31" w:rsidRDefault="00140C34">
      <w:pPr>
        <w:numPr>
          <w:ilvl w:val="2"/>
          <w:numId w:val="3"/>
        </w:numPr>
        <w:ind w:right="13" w:hanging="336"/>
      </w:pPr>
      <w:r>
        <w:t>Právo instalovat verzi Office Professional Plus na jedno zařízení licencovaného uživatele místo Office 365 Pro Plus.</w:t>
      </w:r>
      <w:r>
        <w:t xml:space="preserve"> </w:t>
      </w:r>
    </w:p>
    <w:p w:rsidR="00EE7D31" w:rsidRDefault="00140C34">
      <w:pPr>
        <w:numPr>
          <w:ilvl w:val="2"/>
          <w:numId w:val="3"/>
        </w:numPr>
        <w:ind w:right="13" w:hanging="336"/>
      </w:pPr>
      <w:r>
        <w:t xml:space="preserve">Právo instalovat verze Windows 10 </w:t>
      </w:r>
      <w:proofErr w:type="spellStart"/>
      <w:r>
        <w:t>Education</w:t>
      </w:r>
      <w:proofErr w:type="spellEnd"/>
      <w:r>
        <w:t xml:space="preserve">, Windows 10 </w:t>
      </w:r>
      <w:proofErr w:type="spellStart"/>
      <w:r>
        <w:t>Enterprise</w:t>
      </w:r>
      <w:proofErr w:type="spellEnd"/>
      <w:r>
        <w:t xml:space="preserve"> nebo Windows 10 Pro místo Windows 10 </w:t>
      </w:r>
      <w:proofErr w:type="spellStart"/>
      <w:r>
        <w:t>Education</w:t>
      </w:r>
      <w:proofErr w:type="spellEnd"/>
      <w:r>
        <w:t xml:space="preserve"> E3.</w:t>
      </w:r>
      <w:r>
        <w:t xml:space="preserve"> </w:t>
      </w:r>
    </w:p>
    <w:p w:rsidR="00EE7D31" w:rsidRDefault="00140C34">
      <w:pPr>
        <w:numPr>
          <w:ilvl w:val="2"/>
          <w:numId w:val="3"/>
        </w:numPr>
        <w:ind w:right="13" w:hanging="336"/>
      </w:pPr>
      <w:r>
        <w:t>Právo instalovat až</w:t>
      </w:r>
      <w:r>
        <w:t xml:space="preserve"> 5 kopií aplikace Office 365 Pro Plus na domácích zařízeních studentů a zaměstnanců školy.</w:t>
      </w:r>
      <w:r>
        <w:t xml:space="preserve"> </w:t>
      </w:r>
    </w:p>
    <w:p w:rsidR="00EE7D31" w:rsidRDefault="00140C34">
      <w:pPr>
        <w:numPr>
          <w:ilvl w:val="2"/>
          <w:numId w:val="3"/>
        </w:numPr>
        <w:ind w:right="13" w:hanging="336"/>
      </w:pPr>
      <w:r>
        <w:t xml:space="preserve">Právo instalovat na domácích zařízeních studentů upgrade na Windows 10 </w:t>
      </w:r>
      <w:proofErr w:type="spellStart"/>
      <w:r>
        <w:t>Education</w:t>
      </w:r>
      <w:proofErr w:type="spellEnd"/>
      <w:r>
        <w:t>.</w:t>
      </w:r>
      <w:r>
        <w:t xml:space="preserve"> </w:t>
      </w:r>
    </w:p>
    <w:p w:rsidR="00EE7D31" w:rsidRDefault="00140C34">
      <w:pPr>
        <w:numPr>
          <w:ilvl w:val="2"/>
          <w:numId w:val="3"/>
        </w:numPr>
        <w:ind w:right="13" w:hanging="336"/>
      </w:pPr>
      <w:r>
        <w:t>Právo</w:t>
      </w:r>
      <w:r>
        <w:t xml:space="preserve"> </w:t>
      </w:r>
      <w:r>
        <w:t>používat starší verze produktů pro veškeré, smlouvou licencované, portfolio</w:t>
      </w:r>
      <w:r>
        <w:t xml:space="preserve"> Microsoft, vyjma online služeb.</w:t>
      </w:r>
      <w:r>
        <w:t xml:space="preserve">  </w:t>
      </w:r>
    </w:p>
    <w:p w:rsidR="00EE7D31" w:rsidRDefault="00140C34">
      <w:pPr>
        <w:spacing w:after="179" w:line="259" w:lineRule="auto"/>
        <w:ind w:left="1" w:firstLine="0"/>
        <w:jc w:val="left"/>
      </w:pPr>
      <w:r>
        <w:t xml:space="preserve"> </w:t>
      </w:r>
    </w:p>
    <w:p w:rsidR="00EE7D31" w:rsidRDefault="00140C34">
      <w:pPr>
        <w:numPr>
          <w:ilvl w:val="1"/>
          <w:numId w:val="4"/>
        </w:numPr>
        <w:spacing w:after="184"/>
        <w:ind w:right="13" w:hanging="429"/>
      </w:pPr>
      <w:r>
        <w:t>Požadovaný počet licencí</w:t>
      </w:r>
      <w:r>
        <w:t xml:space="preserve"> </w:t>
      </w:r>
    </w:p>
    <w:p w:rsidR="00EE7D31" w:rsidRDefault="00140C34">
      <w:pPr>
        <w:ind w:left="0" w:right="13"/>
      </w:pPr>
      <w:r>
        <w:t>Počet pořizovaných licencí je odvozen od počtu úvazků pedagogů a zaměstnanců tzv. „</w:t>
      </w:r>
      <w:proofErr w:type="spellStart"/>
      <w:r>
        <w:t>Knowledge</w:t>
      </w:r>
      <w:proofErr w:type="spellEnd"/>
      <w:r>
        <w:t xml:space="preserve"> </w:t>
      </w:r>
      <w:proofErr w:type="spellStart"/>
      <w:r>
        <w:t>Workers</w:t>
      </w:r>
      <w:proofErr w:type="spellEnd"/>
      <w:r>
        <w:t>“, kteří pracují pro příjemce, využívají služby nebo produkty z položky Microsoft 365 A3 nebo</w:t>
      </w:r>
      <w:r>
        <w:t xml:space="preserve"> používají kvalifikované zařízení příjemce, dále viz čl. IV. odst. 1 této </w:t>
      </w:r>
      <w:r>
        <w:t>smlouvy</w:t>
      </w:r>
      <w:r>
        <w:t>.</w:t>
      </w:r>
      <w:r>
        <w:rPr>
          <w:b/>
        </w:rPr>
        <w:t xml:space="preserve">  </w:t>
      </w:r>
    </w:p>
    <w:p w:rsidR="00EE7D31" w:rsidRDefault="00140C34">
      <w:pPr>
        <w:spacing w:after="0" w:line="259" w:lineRule="auto"/>
        <w:ind w:left="1" w:firstLine="0"/>
        <w:jc w:val="left"/>
      </w:pPr>
      <w:r>
        <w:rPr>
          <w:b/>
        </w:rPr>
        <w:t xml:space="preserve"> </w:t>
      </w:r>
    </w:p>
    <w:tbl>
      <w:tblPr>
        <w:tblStyle w:val="TableGrid"/>
        <w:tblW w:w="9070" w:type="dxa"/>
        <w:tblInd w:w="2" w:type="dxa"/>
        <w:tblCellMar>
          <w:top w:w="135" w:type="dxa"/>
          <w:left w:w="68" w:type="dxa"/>
          <w:bottom w:w="0" w:type="dxa"/>
          <w:right w:w="109" w:type="dxa"/>
        </w:tblCellMar>
        <w:tblLook w:val="04A0" w:firstRow="1" w:lastRow="0" w:firstColumn="1" w:lastColumn="0" w:noHBand="0" w:noVBand="1"/>
      </w:tblPr>
      <w:tblGrid>
        <w:gridCol w:w="1273"/>
        <w:gridCol w:w="7797"/>
      </w:tblGrid>
      <w:tr w:rsidR="00EE7D31">
        <w:trPr>
          <w:trHeight w:val="727"/>
        </w:trPr>
        <w:tc>
          <w:tcPr>
            <w:tcW w:w="1273" w:type="dxa"/>
            <w:tcBorders>
              <w:top w:val="single" w:sz="4" w:space="0" w:color="000000"/>
              <w:left w:val="single" w:sz="4" w:space="0" w:color="000000"/>
              <w:bottom w:val="single" w:sz="4" w:space="0" w:color="000000"/>
              <w:right w:val="single" w:sz="4" w:space="0" w:color="000000"/>
            </w:tcBorders>
            <w:shd w:val="clear" w:color="auto" w:fill="D9D9D9"/>
          </w:tcPr>
          <w:p w:rsidR="00EE7D31" w:rsidRDefault="00140C34">
            <w:pPr>
              <w:spacing w:after="0" w:line="259" w:lineRule="auto"/>
              <w:ind w:left="0" w:firstLine="0"/>
              <w:jc w:val="left"/>
            </w:pPr>
            <w:r>
              <w:t>Produkt</w:t>
            </w:r>
            <w:r>
              <w:t xml:space="preserve"> </w:t>
            </w:r>
          </w:p>
        </w:tc>
        <w:tc>
          <w:tcPr>
            <w:tcW w:w="7796" w:type="dxa"/>
            <w:tcBorders>
              <w:top w:val="single" w:sz="4" w:space="0" w:color="000000"/>
              <w:left w:val="single" w:sz="4" w:space="0" w:color="000000"/>
              <w:bottom w:val="single" w:sz="4" w:space="0" w:color="000000"/>
              <w:right w:val="single" w:sz="4" w:space="0" w:color="000000"/>
            </w:tcBorders>
            <w:shd w:val="clear" w:color="auto" w:fill="D9D9D9"/>
          </w:tcPr>
          <w:p w:rsidR="00EE7D31" w:rsidRDefault="00140C34">
            <w:pPr>
              <w:spacing w:after="0" w:line="259" w:lineRule="auto"/>
              <w:ind w:left="4" w:firstLine="0"/>
              <w:jc w:val="left"/>
            </w:pPr>
            <w:r>
              <w:t>Popis produktu</w:t>
            </w:r>
            <w:r>
              <w:t xml:space="preserve"> </w:t>
            </w:r>
          </w:p>
        </w:tc>
      </w:tr>
      <w:tr w:rsidR="00EE7D31">
        <w:trPr>
          <w:trHeight w:val="1045"/>
        </w:trPr>
        <w:tc>
          <w:tcPr>
            <w:tcW w:w="1273" w:type="dxa"/>
            <w:tcBorders>
              <w:top w:val="single" w:sz="4" w:space="0" w:color="000000"/>
              <w:left w:val="single" w:sz="4" w:space="0" w:color="000000"/>
              <w:bottom w:val="single" w:sz="4" w:space="0" w:color="000000"/>
              <w:right w:val="single" w:sz="4" w:space="0" w:color="000000"/>
            </w:tcBorders>
          </w:tcPr>
          <w:p w:rsidR="00EE7D31" w:rsidRDefault="00140C34">
            <w:pPr>
              <w:spacing w:after="197" w:line="259" w:lineRule="auto"/>
              <w:ind w:left="0" w:firstLine="0"/>
              <w:jc w:val="left"/>
            </w:pPr>
            <w:r>
              <w:rPr>
                <w:sz w:val="20"/>
              </w:rPr>
              <w:t>AAD</w:t>
            </w:r>
            <w:r>
              <w:rPr>
                <w:sz w:val="20"/>
              </w:rPr>
              <w:t>-</w:t>
            </w:r>
            <w:r>
              <w:rPr>
                <w:sz w:val="20"/>
              </w:rPr>
              <w:t>38391</w:t>
            </w:r>
            <w:r>
              <w:rPr>
                <w:sz w:val="20"/>
              </w:rPr>
              <w:t xml:space="preserve"> </w:t>
            </w:r>
          </w:p>
          <w:p w:rsidR="00EE7D31" w:rsidRDefault="00140C34">
            <w:pPr>
              <w:spacing w:after="0" w:line="259" w:lineRule="auto"/>
              <w:ind w:left="0" w:firstLine="0"/>
            </w:pPr>
            <w:r>
              <w:rPr>
                <w:sz w:val="20"/>
              </w:rPr>
              <w:t>AAD</w:t>
            </w:r>
            <w:r>
              <w:rPr>
                <w:sz w:val="20"/>
              </w:rPr>
              <w:t>-</w:t>
            </w:r>
            <w:r>
              <w:rPr>
                <w:sz w:val="20"/>
              </w:rPr>
              <w:t>38397</w:t>
            </w:r>
            <w:r>
              <w:t xml:space="preserve"> </w:t>
            </w:r>
          </w:p>
        </w:tc>
        <w:tc>
          <w:tcPr>
            <w:tcW w:w="7796" w:type="dxa"/>
            <w:tcBorders>
              <w:top w:val="single" w:sz="4" w:space="0" w:color="000000"/>
              <w:left w:val="single" w:sz="4" w:space="0" w:color="000000"/>
              <w:bottom w:val="single" w:sz="4" w:space="0" w:color="000000"/>
              <w:right w:val="single" w:sz="4" w:space="0" w:color="000000"/>
            </w:tcBorders>
          </w:tcPr>
          <w:p w:rsidR="00EE7D31" w:rsidRDefault="00140C34">
            <w:pPr>
              <w:spacing w:after="198" w:line="259" w:lineRule="auto"/>
              <w:ind w:left="4" w:firstLine="0"/>
              <w:jc w:val="left"/>
            </w:pPr>
            <w:r>
              <w:rPr>
                <w:sz w:val="20"/>
              </w:rPr>
              <w:t xml:space="preserve">M365 EDU A3 </w:t>
            </w:r>
            <w:proofErr w:type="spellStart"/>
            <w:r>
              <w:rPr>
                <w:sz w:val="20"/>
              </w:rPr>
              <w:t>Unified</w:t>
            </w:r>
            <w:proofErr w:type="spellEnd"/>
            <w:r>
              <w:rPr>
                <w:sz w:val="20"/>
              </w:rPr>
              <w:t xml:space="preserve"> </w:t>
            </w:r>
            <w:proofErr w:type="spellStart"/>
            <w:r>
              <w:rPr>
                <w:sz w:val="20"/>
              </w:rPr>
              <w:t>ShrdSvr</w:t>
            </w:r>
            <w:proofErr w:type="spellEnd"/>
            <w:r>
              <w:rPr>
                <w:sz w:val="20"/>
              </w:rPr>
              <w:t xml:space="preserve"> ALNG </w:t>
            </w:r>
            <w:proofErr w:type="spellStart"/>
            <w:r>
              <w:rPr>
                <w:sz w:val="20"/>
              </w:rPr>
              <w:t>SubsVL</w:t>
            </w:r>
            <w:proofErr w:type="spellEnd"/>
            <w:r>
              <w:rPr>
                <w:sz w:val="20"/>
              </w:rPr>
              <w:t xml:space="preserve"> MVL PerUsrM365</w:t>
            </w:r>
            <w:r>
              <w:rPr>
                <w:sz w:val="20"/>
              </w:rPr>
              <w:t xml:space="preserve"> </w:t>
            </w:r>
          </w:p>
          <w:p w:rsidR="00EE7D31" w:rsidRDefault="00140C34">
            <w:pPr>
              <w:spacing w:after="0" w:line="259" w:lineRule="auto"/>
              <w:ind w:left="4" w:firstLine="0"/>
              <w:jc w:val="left"/>
            </w:pPr>
            <w:r>
              <w:rPr>
                <w:sz w:val="20"/>
              </w:rPr>
              <w:t xml:space="preserve">EDU A3 </w:t>
            </w:r>
            <w:proofErr w:type="spellStart"/>
            <w:r>
              <w:rPr>
                <w:sz w:val="20"/>
              </w:rPr>
              <w:t>Unified</w:t>
            </w:r>
            <w:proofErr w:type="spellEnd"/>
            <w:r>
              <w:rPr>
                <w:sz w:val="20"/>
              </w:rPr>
              <w:t xml:space="preserve"> </w:t>
            </w:r>
            <w:proofErr w:type="spellStart"/>
            <w:r>
              <w:rPr>
                <w:sz w:val="20"/>
              </w:rPr>
              <w:t>ShrdSvr</w:t>
            </w:r>
            <w:proofErr w:type="spellEnd"/>
            <w:r>
              <w:rPr>
                <w:sz w:val="20"/>
              </w:rPr>
              <w:t xml:space="preserve"> ALNG </w:t>
            </w:r>
            <w:proofErr w:type="spellStart"/>
            <w:r>
              <w:rPr>
                <w:sz w:val="20"/>
              </w:rPr>
              <w:t>SubsVL</w:t>
            </w:r>
            <w:proofErr w:type="spellEnd"/>
            <w:r>
              <w:rPr>
                <w:sz w:val="20"/>
              </w:rPr>
              <w:t xml:space="preserve"> MVL </w:t>
            </w:r>
            <w:proofErr w:type="spellStart"/>
            <w:r>
              <w:rPr>
                <w:sz w:val="20"/>
              </w:rPr>
              <w:t>PerUsr</w:t>
            </w:r>
            <w:proofErr w:type="spellEnd"/>
            <w:r>
              <w:rPr>
                <w:sz w:val="20"/>
              </w:rPr>
              <w:t xml:space="preserve"> </w:t>
            </w:r>
            <w:proofErr w:type="spellStart"/>
            <w:r>
              <w:rPr>
                <w:sz w:val="20"/>
              </w:rPr>
              <w:t>STUUseBnft</w:t>
            </w:r>
            <w:proofErr w:type="spellEnd"/>
            <w:r>
              <w:t xml:space="preserve"> </w:t>
            </w:r>
          </w:p>
        </w:tc>
      </w:tr>
    </w:tbl>
    <w:p w:rsidR="00EE7D31" w:rsidRDefault="00140C34">
      <w:pPr>
        <w:spacing w:after="177" w:line="259" w:lineRule="auto"/>
        <w:ind w:left="0" w:firstLine="0"/>
        <w:jc w:val="left"/>
      </w:pPr>
      <w:r>
        <w:t xml:space="preserve"> </w:t>
      </w:r>
    </w:p>
    <w:p w:rsidR="00EE7D31" w:rsidRDefault="00140C34">
      <w:pPr>
        <w:numPr>
          <w:ilvl w:val="1"/>
          <w:numId w:val="4"/>
        </w:numPr>
        <w:ind w:right="13" w:hanging="429"/>
      </w:pPr>
      <w:r>
        <w:t>Podpora v</w:t>
      </w:r>
      <w:r>
        <w:t xml:space="preserve"> </w:t>
      </w:r>
      <w:r>
        <w:t>oblasti licenční politiky Microsoft</w:t>
      </w:r>
      <w:r>
        <w:t xml:space="preserve"> </w:t>
      </w:r>
    </w:p>
    <w:p w:rsidR="00EE7D31" w:rsidRDefault="00140C34">
      <w:pPr>
        <w:numPr>
          <w:ilvl w:val="0"/>
          <w:numId w:val="6"/>
        </w:numPr>
        <w:ind w:right="13" w:hanging="350"/>
      </w:pPr>
      <w:r>
        <w:t xml:space="preserve">poskytování </w:t>
      </w:r>
      <w:r>
        <w:t>certifikovaných licenčních specialistů pro licenční politiku k Microsoft produktům pro konzultace optimálního licenčního řešení</w:t>
      </w:r>
      <w:r>
        <w:t xml:space="preserve">, </w:t>
      </w:r>
    </w:p>
    <w:p w:rsidR="00EE7D31" w:rsidRDefault="00140C34">
      <w:pPr>
        <w:numPr>
          <w:ilvl w:val="0"/>
          <w:numId w:val="6"/>
        </w:numPr>
        <w:ind w:right="13" w:hanging="350"/>
      </w:pPr>
      <w:r>
        <w:t xml:space="preserve">poskytování </w:t>
      </w:r>
      <w:r>
        <w:t>instalačních souborů dle požadavků odpovědných pracovní</w:t>
      </w:r>
      <w:r>
        <w:t>ků</w:t>
      </w:r>
      <w:r>
        <w:t xml:space="preserve">, </w:t>
      </w:r>
    </w:p>
    <w:p w:rsidR="00EE7D31" w:rsidRDefault="00140C34">
      <w:pPr>
        <w:numPr>
          <w:ilvl w:val="0"/>
          <w:numId w:val="6"/>
        </w:numPr>
        <w:ind w:right="13" w:hanging="350"/>
      </w:pPr>
      <w:r>
        <w:t xml:space="preserve">poskytování </w:t>
      </w:r>
      <w:r>
        <w:t>jediného a centrálního místa pro objednávání licencí/licenční konzultace</w:t>
      </w:r>
      <w:r>
        <w:t xml:space="preserve">, </w:t>
      </w:r>
    </w:p>
    <w:p w:rsidR="00EE7D31" w:rsidRDefault="00140C34">
      <w:pPr>
        <w:numPr>
          <w:ilvl w:val="0"/>
          <w:numId w:val="6"/>
        </w:numPr>
        <w:ind w:right="13" w:hanging="350"/>
      </w:pPr>
      <w:r>
        <w:t xml:space="preserve">poskytování </w:t>
      </w:r>
      <w:r>
        <w:t>pomoci s optimalizací licencí prostřednictvím služby softwarových</w:t>
      </w:r>
      <w:r>
        <w:t xml:space="preserve"> </w:t>
      </w:r>
      <w:r>
        <w:t>auditů</w:t>
      </w:r>
      <w:r>
        <w:t xml:space="preserve">, </w:t>
      </w:r>
    </w:p>
    <w:p w:rsidR="00EE7D31" w:rsidRDefault="00140C34">
      <w:pPr>
        <w:numPr>
          <w:ilvl w:val="0"/>
          <w:numId w:val="6"/>
        </w:numPr>
        <w:ind w:right="13" w:hanging="350"/>
      </w:pPr>
      <w:r>
        <w:t>provádění</w:t>
      </w:r>
      <w:r>
        <w:t xml:space="preserve"> so</w:t>
      </w:r>
      <w:r>
        <w:t>ftwarových auditů certifikovanými auditory</w:t>
      </w:r>
      <w:r>
        <w:t xml:space="preserve">, </w:t>
      </w:r>
    </w:p>
    <w:p w:rsidR="00EE7D31" w:rsidRDefault="00140C34">
      <w:pPr>
        <w:numPr>
          <w:ilvl w:val="0"/>
          <w:numId w:val="6"/>
        </w:numPr>
        <w:ind w:right="13" w:hanging="350"/>
      </w:pPr>
      <w:r>
        <w:lastRenderedPageBreak/>
        <w:t>pomoc s přípravou metodických pokynů pro práci se software v souladu s autorskými právy.</w:t>
      </w:r>
      <w:r>
        <w:t xml:space="preserve"> </w:t>
      </w:r>
    </w:p>
    <w:p w:rsidR="00EE7D31" w:rsidRDefault="00140C34">
      <w:pPr>
        <w:ind w:left="0" w:right="13"/>
      </w:pPr>
      <w:r>
        <w:t>2.4. Podpora v oblasti technické pomoci pro produkty Microsoft</w:t>
      </w:r>
      <w:r>
        <w:t xml:space="preserve"> </w:t>
      </w:r>
    </w:p>
    <w:p w:rsidR="00EE7D31" w:rsidRDefault="00140C34">
      <w:pPr>
        <w:numPr>
          <w:ilvl w:val="0"/>
          <w:numId w:val="7"/>
        </w:numPr>
        <w:ind w:left="708" w:right="13" w:hanging="350"/>
      </w:pPr>
      <w:proofErr w:type="spellStart"/>
      <w:r>
        <w:t>hotline</w:t>
      </w:r>
      <w:proofErr w:type="spellEnd"/>
      <w:r>
        <w:t xml:space="preserve"> technická podpora pro licenční poradenství a Software </w:t>
      </w:r>
      <w:proofErr w:type="spellStart"/>
      <w:r>
        <w:t>Asset</w:t>
      </w:r>
      <w:proofErr w:type="spellEnd"/>
      <w:r>
        <w:t xml:space="preserve"> Management,</w:t>
      </w:r>
      <w:r>
        <w:t xml:space="preserve"> </w:t>
      </w:r>
    </w:p>
    <w:p w:rsidR="00EE7D31" w:rsidRDefault="00140C34">
      <w:pPr>
        <w:numPr>
          <w:ilvl w:val="0"/>
          <w:numId w:val="7"/>
        </w:numPr>
        <w:ind w:left="708" w:right="13" w:hanging="350"/>
      </w:pPr>
      <w:r>
        <w:t>řešení technických pr</w:t>
      </w:r>
      <w:r>
        <w:t>oblémů prostřednictvím služby Microsoft Professional Support.</w:t>
      </w:r>
      <w:r>
        <w:t xml:space="preserve"> </w:t>
      </w:r>
    </w:p>
    <w:p w:rsidR="00EE7D31" w:rsidRDefault="00140C34">
      <w:pPr>
        <w:ind w:left="0" w:right="13"/>
      </w:pPr>
      <w:r>
        <w:t xml:space="preserve">2.5. Zajištění administrace agendy </w:t>
      </w:r>
      <w:r>
        <w:t xml:space="preserve"> </w:t>
      </w:r>
    </w:p>
    <w:p w:rsidR="00EE7D31" w:rsidRDefault="00140C34">
      <w:pPr>
        <w:numPr>
          <w:ilvl w:val="0"/>
          <w:numId w:val="8"/>
        </w:numPr>
        <w:ind w:right="13" w:hanging="350"/>
      </w:pPr>
      <w:r>
        <w:t>zpracování přehledů o počtu a typech licencí příjemce</w:t>
      </w:r>
      <w:r>
        <w:t xml:space="preserve">, </w:t>
      </w:r>
    </w:p>
    <w:p w:rsidR="00EE7D31" w:rsidRDefault="00140C34">
      <w:pPr>
        <w:numPr>
          <w:ilvl w:val="0"/>
          <w:numId w:val="8"/>
        </w:numPr>
        <w:ind w:right="13" w:hanging="350"/>
      </w:pPr>
      <w:r>
        <w:t>poskytnutí přístupu k informacím o licencích příjemci</w:t>
      </w:r>
      <w:r>
        <w:t xml:space="preserve"> </w:t>
      </w:r>
      <w:r>
        <w:t>prostřednictvím internetu,</w:t>
      </w:r>
      <w:r>
        <w:t xml:space="preserve"> </w:t>
      </w:r>
    </w:p>
    <w:p w:rsidR="00EE7D31" w:rsidRDefault="00140C34">
      <w:pPr>
        <w:numPr>
          <w:ilvl w:val="0"/>
          <w:numId w:val="8"/>
        </w:numPr>
        <w:spacing w:after="110"/>
        <w:ind w:right="13" w:hanging="350"/>
      </w:pPr>
      <w:r>
        <w:t>vedení průkazné ev</w:t>
      </w:r>
      <w:r>
        <w:t>idence o objednávkách licencí příjemcem, evidence licencí pro příjemce</w:t>
      </w:r>
      <w:r>
        <w:t xml:space="preserve"> </w:t>
      </w:r>
      <w:r>
        <w:t>v souladu s požadavky a doporučeními společnosti Microsoft a společnosti BSA.</w:t>
      </w:r>
      <w:r>
        <w:t xml:space="preserve"> </w:t>
      </w:r>
    </w:p>
    <w:p w:rsidR="00EE7D31" w:rsidRDefault="00140C34">
      <w:pPr>
        <w:ind w:left="0" w:right="13"/>
      </w:pPr>
      <w:r>
        <w:t>2.6. Zajištění vzdělávacího portálu</w:t>
      </w:r>
      <w:r>
        <w:t xml:space="preserve"> </w:t>
      </w:r>
    </w:p>
    <w:p w:rsidR="00EE7D31" w:rsidRDefault="00140C34">
      <w:pPr>
        <w:numPr>
          <w:ilvl w:val="2"/>
          <w:numId w:val="10"/>
        </w:numPr>
        <w:ind w:right="13" w:hanging="336"/>
      </w:pPr>
      <w:r>
        <w:t>Vzdělávací portál musí poskytovat návody obsahující klíčové informace</w:t>
      </w:r>
      <w:r>
        <w:t xml:space="preserve"> pro uživatele ohledně nejdůležitějších součástí Office365. Portál musí obsahovat informace o využití konkrétních služeb a příklady praktických scénářů využití.</w:t>
      </w:r>
      <w:r>
        <w:t xml:space="preserve"> </w:t>
      </w:r>
    </w:p>
    <w:p w:rsidR="00EE7D31" w:rsidRDefault="00140C34">
      <w:pPr>
        <w:numPr>
          <w:ilvl w:val="2"/>
          <w:numId w:val="10"/>
        </w:numPr>
        <w:ind w:right="13" w:hanging="336"/>
      </w:pPr>
      <w:r>
        <w:t>Materiály musí být k dispozici uživatelům centrálně, na portále zřízeném v rámci prostředí Off</w:t>
      </w:r>
      <w:r>
        <w:t>ice365 (ikona na tento portál musí být přidána přímo do navigace služeb Office365 bez nutnosti využití dalších aplikací např. Teams) a být instalovány přímo v prostředí (</w:t>
      </w:r>
      <w:proofErr w:type="spellStart"/>
      <w:r>
        <w:t>tenantech</w:t>
      </w:r>
      <w:proofErr w:type="spellEnd"/>
      <w:r>
        <w:t>) jednotlivých školských zařízení. Materiály obsažené na portálu musí být akt</w:t>
      </w:r>
      <w:r>
        <w:t xml:space="preserve">uální ke dni dodání licencí/služeb. </w:t>
      </w:r>
      <w:r>
        <w:t xml:space="preserve"> </w:t>
      </w:r>
    </w:p>
    <w:p w:rsidR="00EE7D31" w:rsidRDefault="00140C34">
      <w:pPr>
        <w:numPr>
          <w:ilvl w:val="2"/>
          <w:numId w:val="10"/>
        </w:numPr>
        <w:ind w:right="13" w:hanging="336"/>
      </w:pPr>
      <w:r>
        <w:t>Licence obsah</w:t>
      </w:r>
      <w:r>
        <w:t xml:space="preserve">uje </w:t>
      </w:r>
      <w:r>
        <w:t xml:space="preserve">možnost provozovat portál minimálně v českém jazyce. </w:t>
      </w:r>
      <w:r>
        <w:t xml:space="preserve"> </w:t>
      </w:r>
    </w:p>
    <w:p w:rsidR="00EE7D31" w:rsidRDefault="00140C34">
      <w:pPr>
        <w:numPr>
          <w:ilvl w:val="2"/>
          <w:numId w:val="10"/>
        </w:numPr>
        <w:ind w:right="13" w:hanging="336"/>
      </w:pPr>
      <w:r>
        <w:t>Portál musí být licencovaný na uživatele formou licence pro neomezený počet uživatelů.</w:t>
      </w:r>
      <w:r>
        <w:t xml:space="preserve"> </w:t>
      </w:r>
    </w:p>
    <w:p w:rsidR="00EE7D31" w:rsidRDefault="00140C34">
      <w:pPr>
        <w:numPr>
          <w:ilvl w:val="2"/>
          <w:numId w:val="10"/>
        </w:numPr>
        <w:ind w:right="13" w:hanging="336"/>
      </w:pPr>
      <w:r>
        <w:t>Základní sada vzdělávacích materiálů musí obsahovat minimá</w:t>
      </w:r>
      <w:r>
        <w:t>lně tyto oblasti:</w:t>
      </w:r>
      <w:r>
        <w:t xml:space="preserve"> </w:t>
      </w:r>
    </w:p>
    <w:p w:rsidR="00EE7D31" w:rsidRDefault="00140C34">
      <w:pPr>
        <w:numPr>
          <w:ilvl w:val="3"/>
          <w:numId w:val="9"/>
        </w:numPr>
        <w:ind w:right="13" w:hanging="283"/>
      </w:pPr>
      <w:r>
        <w:t>Portál Office 365 a popis služeb</w:t>
      </w:r>
      <w:r>
        <w:t xml:space="preserve"> </w:t>
      </w:r>
    </w:p>
    <w:p w:rsidR="00EE7D31" w:rsidRDefault="00140C34">
      <w:pPr>
        <w:numPr>
          <w:ilvl w:val="3"/>
          <w:numId w:val="9"/>
        </w:numPr>
        <w:ind w:right="13" w:hanging="283"/>
      </w:pPr>
      <w:r>
        <w:t>Portál Office 365 a popis přihlášení, základního ovládání a nastavení</w:t>
      </w:r>
      <w:r>
        <w:t xml:space="preserve"> </w:t>
      </w:r>
    </w:p>
    <w:p w:rsidR="00EE7D31" w:rsidRDefault="00140C34">
      <w:pPr>
        <w:numPr>
          <w:ilvl w:val="3"/>
          <w:numId w:val="9"/>
        </w:numPr>
        <w:ind w:right="13" w:hanging="283"/>
      </w:pPr>
      <w:r>
        <w:t>Elektronická pošta a kalendář (včetně web přístupu)</w:t>
      </w:r>
      <w:r>
        <w:t xml:space="preserve"> </w:t>
      </w:r>
    </w:p>
    <w:p w:rsidR="00EE7D31" w:rsidRDefault="00140C34">
      <w:pPr>
        <w:numPr>
          <w:ilvl w:val="3"/>
          <w:numId w:val="9"/>
        </w:numPr>
        <w:ind w:right="13" w:hanging="283"/>
      </w:pPr>
      <w:proofErr w:type="spellStart"/>
      <w:r>
        <w:t>OneDrive</w:t>
      </w:r>
      <w:proofErr w:type="spellEnd"/>
      <w:r>
        <w:t xml:space="preserve"> pro Firmy</w:t>
      </w:r>
      <w:r>
        <w:t xml:space="preserve"> </w:t>
      </w:r>
    </w:p>
    <w:p w:rsidR="00EE7D31" w:rsidRDefault="00140C34">
      <w:pPr>
        <w:numPr>
          <w:ilvl w:val="3"/>
          <w:numId w:val="9"/>
        </w:numPr>
        <w:ind w:right="13" w:hanging="283"/>
      </w:pPr>
      <w:r>
        <w:t xml:space="preserve">Oblast Teams, </w:t>
      </w:r>
      <w:proofErr w:type="spellStart"/>
      <w:r>
        <w:t>Delve</w:t>
      </w:r>
      <w:proofErr w:type="spellEnd"/>
      <w:r>
        <w:t xml:space="preserve">, </w:t>
      </w:r>
      <w:proofErr w:type="spellStart"/>
      <w:r>
        <w:t>Groups</w:t>
      </w:r>
      <w:proofErr w:type="spellEnd"/>
      <w:r>
        <w:t xml:space="preserve">, </w:t>
      </w:r>
      <w:proofErr w:type="spellStart"/>
      <w:r>
        <w:t>Stre</w:t>
      </w:r>
      <w:r>
        <w:t>am</w:t>
      </w:r>
      <w:proofErr w:type="spellEnd"/>
      <w:r>
        <w:t xml:space="preserve"> </w:t>
      </w:r>
    </w:p>
    <w:p w:rsidR="00EE7D31" w:rsidRDefault="00140C34">
      <w:pPr>
        <w:numPr>
          <w:ilvl w:val="3"/>
          <w:numId w:val="9"/>
        </w:numPr>
        <w:ind w:right="13" w:hanging="283"/>
      </w:pPr>
      <w:r>
        <w:t>Návody pro vybrané scénáře (příkladem může být vytvoření online schůzky atp.)</w:t>
      </w:r>
      <w:r>
        <w:t xml:space="preserve"> </w:t>
      </w:r>
    </w:p>
    <w:p w:rsidR="00EE7D31" w:rsidRDefault="00140C34">
      <w:pPr>
        <w:spacing w:after="0" w:line="259" w:lineRule="auto"/>
        <w:ind w:left="721" w:firstLine="0"/>
        <w:jc w:val="left"/>
      </w:pPr>
      <w:r>
        <w:t xml:space="preserve"> </w:t>
      </w:r>
    </w:p>
    <w:p w:rsidR="00EE7D31" w:rsidRDefault="00140C34">
      <w:pPr>
        <w:spacing w:after="0" w:line="259" w:lineRule="auto"/>
        <w:ind w:left="16" w:right="6"/>
        <w:jc w:val="center"/>
      </w:pPr>
      <w:r>
        <w:t>Článek III.</w:t>
      </w:r>
      <w:r>
        <w:t xml:space="preserve"> </w:t>
      </w:r>
    </w:p>
    <w:p w:rsidR="00EE7D31" w:rsidRDefault="00140C34">
      <w:pPr>
        <w:spacing w:after="113" w:line="356" w:lineRule="auto"/>
        <w:ind w:left="-10" w:right="2048" w:firstLine="3353"/>
      </w:pPr>
      <w:r>
        <w:rPr>
          <w:b/>
        </w:rPr>
        <w:t xml:space="preserve">Závazky poskytovatele </w:t>
      </w:r>
      <w:r>
        <w:t>Poskytovatel se zavazuje:</w:t>
      </w:r>
      <w:r>
        <w:t xml:space="preserve"> </w:t>
      </w:r>
    </w:p>
    <w:p w:rsidR="00EE7D31" w:rsidRDefault="00140C34">
      <w:pPr>
        <w:numPr>
          <w:ilvl w:val="0"/>
          <w:numId w:val="11"/>
        </w:numPr>
        <w:spacing w:after="108"/>
        <w:ind w:right="13" w:hanging="427"/>
      </w:pPr>
      <w:r>
        <w:t xml:space="preserve">Zajistit </w:t>
      </w:r>
      <w:r>
        <w:t xml:space="preserve">poradenství </w:t>
      </w:r>
      <w:r>
        <w:t xml:space="preserve">se </w:t>
      </w:r>
      <w:r>
        <w:t>zprovoznění</w:t>
      </w:r>
      <w:r>
        <w:t xml:space="preserve">m </w:t>
      </w:r>
      <w:r>
        <w:t>Office 365 v</w:t>
      </w:r>
      <w:r>
        <w:t xml:space="preserve"> </w:t>
      </w:r>
      <w:r>
        <w:t>prostředí příjemce.</w:t>
      </w:r>
      <w:r>
        <w:t xml:space="preserve"> </w:t>
      </w:r>
    </w:p>
    <w:p w:rsidR="00EE7D31" w:rsidRDefault="00140C34">
      <w:pPr>
        <w:numPr>
          <w:ilvl w:val="0"/>
          <w:numId w:val="11"/>
        </w:numPr>
        <w:spacing w:after="113"/>
        <w:ind w:right="13" w:hanging="427"/>
      </w:pPr>
      <w:r>
        <w:t>Po celou dobu trvání této smlouvy zajistit</w:t>
      </w:r>
      <w:r>
        <w:t xml:space="preserve"> pro Příjemce licence softwarových produktů v rámci smlouvy Microsoft EES</w:t>
      </w:r>
      <w:r>
        <w:t xml:space="preserve"> </w:t>
      </w:r>
    </w:p>
    <w:p w:rsidR="00EE7D31" w:rsidRDefault="00140C34">
      <w:pPr>
        <w:numPr>
          <w:ilvl w:val="0"/>
          <w:numId w:val="11"/>
        </w:numPr>
        <w:ind w:right="13" w:hanging="427"/>
      </w:pPr>
      <w:r>
        <w:t xml:space="preserve">Zajistit bezplatný výkon administrativních činností spojených s provozem SW produktů v </w:t>
      </w:r>
    </w:p>
    <w:p w:rsidR="00EE7D31" w:rsidRDefault="00140C34">
      <w:pPr>
        <w:ind w:left="415" w:right="13" w:hanging="425"/>
      </w:pPr>
      <w:r>
        <w:t>rámci smlouvy Microsoft EES. Mezi tyto činnosti patří zejména:</w:t>
      </w:r>
      <w:r>
        <w:t xml:space="preserve"> </w:t>
      </w:r>
    </w:p>
    <w:p w:rsidR="00EE7D31" w:rsidRDefault="00140C34">
      <w:pPr>
        <w:numPr>
          <w:ilvl w:val="1"/>
          <w:numId w:val="11"/>
        </w:numPr>
        <w:ind w:right="13" w:hanging="360"/>
      </w:pPr>
      <w:r>
        <w:t xml:space="preserve">upozornění Příjemce nejméně 1 měsíc předem na blížící se výročí či konec trvání </w:t>
      </w:r>
      <w:r>
        <w:t xml:space="preserve">smlouvy a </w:t>
      </w:r>
      <w:r>
        <w:t>příprava dokumentů s tím souvisejících (výroční objednávky apod.)</w:t>
      </w:r>
      <w:r>
        <w:t xml:space="preserve"> </w:t>
      </w:r>
    </w:p>
    <w:p w:rsidR="00EE7D31" w:rsidRDefault="00140C34">
      <w:pPr>
        <w:numPr>
          <w:ilvl w:val="1"/>
          <w:numId w:val="11"/>
        </w:numPr>
        <w:ind w:right="13" w:hanging="360"/>
      </w:pPr>
      <w:r>
        <w:t xml:space="preserve">zpracování výročních objednávek základních produktů v rámci smlouvy Microsoft </w:t>
      </w:r>
      <w:r>
        <w:t xml:space="preserve">EES a </w:t>
      </w:r>
      <w:r>
        <w:t>dodávka licencí</w:t>
      </w:r>
      <w:r>
        <w:t xml:space="preserve"> nejdéle do 15 dnů od obdržení obje</w:t>
      </w:r>
      <w:r>
        <w:t xml:space="preserve">dnávky </w:t>
      </w:r>
    </w:p>
    <w:p w:rsidR="00EE7D31" w:rsidRDefault="00140C34">
      <w:pPr>
        <w:numPr>
          <w:ilvl w:val="1"/>
          <w:numId w:val="11"/>
        </w:numPr>
        <w:spacing w:after="110"/>
        <w:ind w:right="13" w:hanging="360"/>
      </w:pPr>
      <w:r>
        <w:t xml:space="preserve">upozornění zadavatele na možnost čerpání výhod poskytovaných spol. Microsoft k této smlouvě (benefity Software </w:t>
      </w:r>
      <w:proofErr w:type="spellStart"/>
      <w:r>
        <w:t>Assurance</w:t>
      </w:r>
      <w:proofErr w:type="spellEnd"/>
      <w:r>
        <w:t xml:space="preserve"> a jiných anuitních benefitů)</w:t>
      </w:r>
      <w:r>
        <w:t xml:space="preserve"> </w:t>
      </w:r>
    </w:p>
    <w:p w:rsidR="00EE7D31" w:rsidRDefault="00140C34">
      <w:pPr>
        <w:spacing w:after="223"/>
        <w:ind w:left="372" w:right="13"/>
      </w:pPr>
      <w:r>
        <w:t xml:space="preserve">Za dodávku licencí se považuje doručení osvědčení o nabytých licencích a daňového </w:t>
      </w:r>
      <w:r>
        <w:t xml:space="preserve">dokladu – </w:t>
      </w:r>
      <w:r>
        <w:t>faktury</w:t>
      </w:r>
      <w:r>
        <w:t xml:space="preserve"> </w:t>
      </w:r>
      <w:r>
        <w:t xml:space="preserve">písemně na adresu </w:t>
      </w:r>
      <w:r>
        <w:t>p</w:t>
      </w:r>
      <w:r>
        <w:t>říjemce.</w:t>
      </w:r>
      <w:r>
        <w:t xml:space="preserve">  </w:t>
      </w:r>
    </w:p>
    <w:p w:rsidR="00EE7D31" w:rsidRDefault="00140C34">
      <w:pPr>
        <w:numPr>
          <w:ilvl w:val="0"/>
          <w:numId w:val="11"/>
        </w:numPr>
        <w:spacing w:after="110"/>
        <w:ind w:right="13" w:hanging="427"/>
      </w:pPr>
      <w:r>
        <w:t xml:space="preserve">Zajistit pro </w:t>
      </w:r>
      <w:r>
        <w:t>p</w:t>
      </w:r>
      <w:r>
        <w:t>říjemce telefonickou podporu produktů Microsoft na telefonním čísle +420</w:t>
      </w:r>
      <w:r>
        <w:t xml:space="preserve"> </w:t>
      </w:r>
      <w:r>
        <w:t>233</w:t>
      </w:r>
      <w:r>
        <w:t xml:space="preserve"> </w:t>
      </w:r>
      <w:r>
        <w:t>323</w:t>
      </w:r>
      <w:r>
        <w:t xml:space="preserve"> </w:t>
      </w:r>
      <w:r>
        <w:t>337</w:t>
      </w:r>
      <w:r>
        <w:rPr>
          <w:color w:val="FF0000"/>
        </w:rPr>
        <w:t xml:space="preserve"> </w:t>
      </w:r>
      <w:r>
        <w:t>nebo emailem na adrese serv</w:t>
      </w:r>
      <w:r>
        <w:t>icedesk.cz@softwareone.com</w:t>
      </w:r>
      <w:r>
        <w:t xml:space="preserve">, a to v </w:t>
      </w:r>
      <w:r>
        <w:t xml:space="preserve">čase od 9:00 </w:t>
      </w:r>
      <w:r>
        <w:lastRenderedPageBreak/>
        <w:t>do 17:00 hod. s</w:t>
      </w:r>
      <w:r>
        <w:t xml:space="preserve"> </w:t>
      </w:r>
      <w:r>
        <w:t xml:space="preserve">reakční dobou maximálně do 4 hodin. </w:t>
      </w:r>
      <w:r>
        <w:t xml:space="preserve">Tento </w:t>
      </w:r>
      <w:proofErr w:type="spellStart"/>
      <w:r>
        <w:t>Helpdesk</w:t>
      </w:r>
      <w:proofErr w:type="spellEnd"/>
      <w:r>
        <w:t xml:space="preserve"> </w:t>
      </w:r>
      <w:r>
        <w:t>budou poskytovat pracovníci v</w:t>
      </w:r>
      <w:r>
        <w:t xml:space="preserve"> </w:t>
      </w:r>
      <w:r>
        <w:t>českém jazyce s</w:t>
      </w:r>
      <w:r>
        <w:t xml:space="preserve"> </w:t>
      </w:r>
      <w:r>
        <w:t xml:space="preserve">certifikací Microsoft Office </w:t>
      </w:r>
      <w:proofErr w:type="spellStart"/>
      <w:r>
        <w:t>Specialist</w:t>
      </w:r>
      <w:proofErr w:type="spellEnd"/>
      <w:r>
        <w:t>.</w:t>
      </w:r>
      <w:r>
        <w:t xml:space="preserve"> </w:t>
      </w:r>
    </w:p>
    <w:p w:rsidR="00EE7D31" w:rsidRDefault="00140C34">
      <w:pPr>
        <w:numPr>
          <w:ilvl w:val="0"/>
          <w:numId w:val="11"/>
        </w:numPr>
        <w:ind w:right="13" w:hanging="427"/>
      </w:pPr>
      <w:r>
        <w:t>Zajistit pro Příjemce poskytování komplexního licenčn</w:t>
      </w:r>
      <w:r>
        <w:t>ího poradenství k zakoupeným produktům. Dostupnost v pracovních dnech od 9:00 do 17:00 hodin s minimální reakční dobou 2 hodiny, maximální doba pro vyřešení 4 pracovní dny.</w:t>
      </w:r>
      <w:r>
        <w:t xml:space="preserve"> </w:t>
      </w:r>
    </w:p>
    <w:p w:rsidR="00EE7D31" w:rsidRDefault="00140C34">
      <w:pPr>
        <w:numPr>
          <w:ilvl w:val="0"/>
          <w:numId w:val="11"/>
        </w:numPr>
        <w:spacing w:after="113"/>
        <w:ind w:right="13" w:hanging="427"/>
      </w:pPr>
      <w:r>
        <w:t xml:space="preserve">Poskytovat komplexní licenční poradenství k </w:t>
      </w:r>
      <w:proofErr w:type="spellStart"/>
      <w:r>
        <w:t>Volume</w:t>
      </w:r>
      <w:proofErr w:type="spellEnd"/>
      <w:r>
        <w:t xml:space="preserve"> </w:t>
      </w:r>
      <w:proofErr w:type="spellStart"/>
      <w:r>
        <w:t>Licensing</w:t>
      </w:r>
      <w:proofErr w:type="spellEnd"/>
      <w:r>
        <w:t xml:space="preserve"> programům vč. vysvětl</w:t>
      </w:r>
      <w:r>
        <w:t>ení odlišné podmínky užití programových produktů s</w:t>
      </w:r>
      <w:r>
        <w:t xml:space="preserve"> </w:t>
      </w:r>
      <w:r>
        <w:t xml:space="preserve">ohledem na efektivní a </w:t>
      </w:r>
      <w:r>
        <w:t>optimál</w:t>
      </w:r>
      <w:r>
        <w:t>ní využití finančních prostředků. Toto poradenství bud</w:t>
      </w:r>
      <w:r>
        <w:t xml:space="preserve">ou poskytovat kvalifikovaní </w:t>
      </w:r>
      <w:r>
        <w:t>pracovníci s příslušnou certifikací na místě v</w:t>
      </w:r>
      <w:r>
        <w:t xml:space="preserve"> </w:t>
      </w:r>
      <w:r>
        <w:t>českém jazyce. Poskytovatel též zpřístupní tak</w:t>
      </w:r>
      <w:r>
        <w:t>ové programy Příjemci.</w:t>
      </w:r>
      <w:r>
        <w:t xml:space="preserve"> </w:t>
      </w:r>
    </w:p>
    <w:p w:rsidR="00EE7D31" w:rsidRDefault="00140C34">
      <w:pPr>
        <w:numPr>
          <w:ilvl w:val="0"/>
          <w:numId w:val="11"/>
        </w:numPr>
        <w:spacing w:after="113"/>
        <w:ind w:right="13" w:hanging="427"/>
      </w:pPr>
      <w:r>
        <w:t>Zajistit aktivaci, správu či údržbu licenčních stránek Příjemce u Microsoftu, aktivaci a správu anuitních benefitů.</w:t>
      </w:r>
      <w:r>
        <w:t xml:space="preserve"> </w:t>
      </w:r>
    </w:p>
    <w:p w:rsidR="00EE7D31" w:rsidRDefault="00140C34">
      <w:pPr>
        <w:numPr>
          <w:ilvl w:val="0"/>
          <w:numId w:val="11"/>
        </w:numPr>
        <w:spacing w:after="110"/>
        <w:ind w:right="13" w:hanging="427"/>
      </w:pPr>
      <w:r>
        <w:t>Poskytovat Konzultační a poradenské služby související s uplatněním produktu v prostředí zadavatele. Vykonávat služ</w:t>
      </w:r>
      <w:r>
        <w:t>by pro Příjemce s</w:t>
      </w:r>
      <w:r>
        <w:t xml:space="preserve"> </w:t>
      </w:r>
      <w:r>
        <w:t>odbornou péčí. V</w:t>
      </w:r>
      <w:r>
        <w:t xml:space="preserve"> </w:t>
      </w:r>
      <w:r>
        <w:t>případě, že však svou činností nebo nečinností způsobí Příjemci škodu, bude přednostně hledána dohoda o náhradě škody mezi smluvními stranami. Pokud tato dohoda nebude nalezena, bude se dále postupovat v</w:t>
      </w:r>
      <w:r>
        <w:t xml:space="preserve"> souladu s </w:t>
      </w:r>
      <w:r>
        <w:t>přísluš</w:t>
      </w:r>
      <w:r>
        <w:t>nými ustanoveními občanského zákoníku.</w:t>
      </w:r>
      <w:r>
        <w:t xml:space="preserve"> </w:t>
      </w:r>
    </w:p>
    <w:p w:rsidR="00EE7D31" w:rsidRDefault="00140C34">
      <w:pPr>
        <w:numPr>
          <w:ilvl w:val="0"/>
          <w:numId w:val="11"/>
        </w:numPr>
        <w:spacing w:after="108"/>
        <w:ind w:right="13" w:hanging="427"/>
      </w:pPr>
      <w:r>
        <w:t>Zajistit provoz vzdělávacího portálů dle čl.</w:t>
      </w:r>
      <w:r>
        <w:t xml:space="preserve"> </w:t>
      </w:r>
      <w:r>
        <w:t xml:space="preserve">II odst. </w:t>
      </w:r>
      <w:proofErr w:type="gramStart"/>
      <w:r>
        <w:t>2.6. ode</w:t>
      </w:r>
      <w:proofErr w:type="gramEnd"/>
      <w:r>
        <w:t xml:space="preserve"> dne </w:t>
      </w:r>
      <w:r>
        <w:t xml:space="preserve"> </w:t>
      </w:r>
      <w:r>
        <w:t>účinnosti smlouvy.</w:t>
      </w:r>
      <w:r>
        <w:t xml:space="preserve"> </w:t>
      </w:r>
    </w:p>
    <w:p w:rsidR="00EE7D31" w:rsidRDefault="00140C34">
      <w:pPr>
        <w:numPr>
          <w:ilvl w:val="0"/>
          <w:numId w:val="11"/>
        </w:numPr>
        <w:spacing w:after="110"/>
        <w:ind w:right="13" w:hanging="427"/>
      </w:pPr>
      <w:r>
        <w:t xml:space="preserve">Zohlednit a vysvětlit odlišné podmínky užití programových produktů s ohledem na </w:t>
      </w:r>
      <w:r>
        <w:t xml:space="preserve">efektivní a </w:t>
      </w:r>
      <w:r>
        <w:t>optimální využití finančních prostře</w:t>
      </w:r>
      <w:r>
        <w:t xml:space="preserve">dků. </w:t>
      </w:r>
      <w:r>
        <w:t xml:space="preserve"> </w:t>
      </w:r>
    </w:p>
    <w:p w:rsidR="00EE7D31" w:rsidRDefault="00140C34">
      <w:pPr>
        <w:numPr>
          <w:ilvl w:val="0"/>
          <w:numId w:val="11"/>
        </w:numPr>
        <w:ind w:right="13" w:hanging="427"/>
      </w:pPr>
      <w:r>
        <w:t>Zajistit ochranu osobních údajů v</w:t>
      </w:r>
      <w:r>
        <w:t xml:space="preserve"> souladu s </w:t>
      </w:r>
      <w:r>
        <w:t>právními předpisy.</w:t>
      </w:r>
      <w:r>
        <w:t xml:space="preserve"> </w:t>
      </w:r>
    </w:p>
    <w:p w:rsidR="00EE7D31" w:rsidRDefault="00140C34">
      <w:pPr>
        <w:spacing w:after="0" w:line="259" w:lineRule="auto"/>
        <w:ind w:left="57" w:firstLine="0"/>
        <w:jc w:val="center"/>
      </w:pPr>
      <w:r>
        <w:t xml:space="preserve"> </w:t>
      </w:r>
    </w:p>
    <w:p w:rsidR="00EE7D31" w:rsidRDefault="00140C34">
      <w:pPr>
        <w:spacing w:after="0" w:line="259" w:lineRule="auto"/>
        <w:ind w:left="16" w:right="7"/>
        <w:jc w:val="center"/>
      </w:pPr>
      <w:r>
        <w:t>Článek IV.</w:t>
      </w:r>
      <w:r>
        <w:t xml:space="preserve"> </w:t>
      </w:r>
    </w:p>
    <w:p w:rsidR="00EE7D31" w:rsidRDefault="00140C34">
      <w:pPr>
        <w:pStyle w:val="Nadpis1"/>
        <w:ind w:left="16" w:right="8"/>
      </w:pPr>
      <w:r>
        <w:t>Záva</w:t>
      </w:r>
      <w:r>
        <w:t>zky příjemce</w:t>
      </w:r>
      <w:r>
        <w:t xml:space="preserve"> </w:t>
      </w:r>
    </w:p>
    <w:p w:rsidR="00EE7D31" w:rsidRDefault="00140C34">
      <w:pPr>
        <w:numPr>
          <w:ilvl w:val="0"/>
          <w:numId w:val="12"/>
        </w:numPr>
        <w:spacing w:after="110"/>
        <w:ind w:right="13" w:hanging="425"/>
      </w:pPr>
      <w:r>
        <w:t>Příjemce je povinen nahlásit Poskytovateli počet pracovních úvazků vždy nejdéle v</w:t>
      </w:r>
      <w:r>
        <w:t xml:space="preserve"> den </w:t>
      </w:r>
      <w:r>
        <w:t>výročí smlouvy Microsoft EES. Za den výročí se považuje rovněž den uzavření této smlouvy.</w:t>
      </w:r>
      <w:r>
        <w:t xml:space="preserve"> </w:t>
      </w:r>
    </w:p>
    <w:p w:rsidR="00EE7D31" w:rsidRDefault="00140C34">
      <w:pPr>
        <w:numPr>
          <w:ilvl w:val="0"/>
          <w:numId w:val="12"/>
        </w:numPr>
        <w:ind w:right="13" w:hanging="425"/>
      </w:pPr>
      <w:r>
        <w:t>Příjemce se zavazuje spolupracovat s</w:t>
      </w:r>
      <w:r>
        <w:t xml:space="preserve"> </w:t>
      </w:r>
      <w:r>
        <w:t>Poskytovatelem na administrativních úkonech, které Poskytovatel nemůže zajistit vlastními silami. Těmito se rozumí zejména nahlá</w:t>
      </w:r>
      <w:r>
        <w:t>šení kontaktních osob a zajištění včasného podepisovaní požadovaných dokumentů.</w:t>
      </w:r>
      <w:r>
        <w:t xml:space="preserve"> </w:t>
      </w:r>
    </w:p>
    <w:p w:rsidR="00EE7D31" w:rsidRDefault="00140C34">
      <w:pPr>
        <w:spacing w:after="218" w:line="259" w:lineRule="auto"/>
        <w:ind w:left="2" w:firstLine="0"/>
        <w:jc w:val="left"/>
      </w:pPr>
      <w:r>
        <w:rPr>
          <w:b/>
        </w:rPr>
        <w:t xml:space="preserve"> </w:t>
      </w:r>
    </w:p>
    <w:p w:rsidR="00EE7D31" w:rsidRDefault="00140C34">
      <w:pPr>
        <w:spacing w:after="0" w:line="259" w:lineRule="auto"/>
        <w:ind w:left="16" w:right="29"/>
        <w:jc w:val="center"/>
      </w:pPr>
      <w:r>
        <w:t>Článek V.</w:t>
      </w:r>
      <w:r>
        <w:t xml:space="preserve"> </w:t>
      </w:r>
    </w:p>
    <w:p w:rsidR="00EE7D31" w:rsidRDefault="00140C34">
      <w:pPr>
        <w:pStyle w:val="Nadpis1"/>
        <w:ind w:left="16" w:right="7"/>
      </w:pPr>
      <w:r>
        <w:t>Cena a platební podmínky</w:t>
      </w:r>
      <w:r>
        <w:t xml:space="preserve"> </w:t>
      </w:r>
    </w:p>
    <w:p w:rsidR="00EE7D31" w:rsidRDefault="00140C34">
      <w:pPr>
        <w:numPr>
          <w:ilvl w:val="0"/>
          <w:numId w:val="13"/>
        </w:numPr>
        <w:spacing w:after="119"/>
        <w:ind w:right="13" w:hanging="360"/>
      </w:pPr>
      <w:r>
        <w:t>Poskytovatel je oprávněn vystavit fakturu na základě Objednávky vystavené Příjemcem. Cena licencí Microsoft EES a souvisejících služeb u</w:t>
      </w:r>
      <w:r>
        <w:t>vedených v</w:t>
      </w:r>
      <w:r>
        <w:t xml:space="preserve"> </w:t>
      </w:r>
      <w:r>
        <w:t xml:space="preserve">čl. II </w:t>
      </w:r>
      <w:r>
        <w:t xml:space="preserve">je uvedena v </w:t>
      </w:r>
      <w:r>
        <w:t>příloze této smlouvy. Příjemce neposkytuje zálohy. Fakturu za první období je poskytovatel povinen vystavit nejpozději do jednoho t</w:t>
      </w:r>
      <w:r>
        <w:t xml:space="preserve">ýdne </w:t>
      </w:r>
      <w:r>
        <w:t>od účinnosti této</w:t>
      </w:r>
      <w:r>
        <w:t xml:space="preserve"> smlouvy</w:t>
      </w:r>
      <w:r>
        <w:t xml:space="preserve">. </w:t>
      </w:r>
      <w:r>
        <w:t xml:space="preserve"> </w:t>
      </w:r>
    </w:p>
    <w:p w:rsidR="00EE7D31" w:rsidRDefault="00140C34">
      <w:pPr>
        <w:numPr>
          <w:ilvl w:val="0"/>
          <w:numId w:val="13"/>
        </w:numPr>
        <w:spacing w:after="118"/>
        <w:ind w:right="13" w:hanging="360"/>
      </w:pPr>
      <w:r>
        <w:t>Vyúčtování licencí základních produktů a souvisejících služe</w:t>
      </w:r>
      <w:r>
        <w:t xml:space="preserve">b </w:t>
      </w:r>
      <w:r>
        <w:t xml:space="preserve">v </w:t>
      </w:r>
      <w:r>
        <w:t>rámci smlouvy Microsoft EES bude probíhat s</w:t>
      </w:r>
      <w:r>
        <w:t xml:space="preserve"> </w:t>
      </w:r>
      <w:r>
        <w:t xml:space="preserve">roční periodou. </w:t>
      </w:r>
      <w:r>
        <w:t xml:space="preserve"> </w:t>
      </w:r>
    </w:p>
    <w:p w:rsidR="00EE7D31" w:rsidRDefault="00140C34">
      <w:pPr>
        <w:numPr>
          <w:ilvl w:val="0"/>
          <w:numId w:val="13"/>
        </w:numPr>
        <w:spacing w:after="119"/>
        <w:ind w:right="13" w:hanging="360"/>
      </w:pPr>
      <w:r>
        <w:t>Platba faktur bude probíhat na základě faktur</w:t>
      </w:r>
      <w:r>
        <w:t>-</w:t>
      </w:r>
      <w:r>
        <w:t xml:space="preserve">daňových dokladů vystavených Poskytovatelem se splatností 30 dnů od data přijetí faktury Příjemcem. Za den splnění platební povinnosti Příjemce </w:t>
      </w:r>
      <w:r>
        <w:t>se považuje den, kdy byla příslušná částka připsána na účet Poskytovatele.</w:t>
      </w:r>
      <w:r>
        <w:t xml:space="preserve"> </w:t>
      </w:r>
    </w:p>
    <w:p w:rsidR="00EE7D31" w:rsidRDefault="00140C34">
      <w:pPr>
        <w:numPr>
          <w:ilvl w:val="0"/>
          <w:numId w:val="13"/>
        </w:numPr>
        <w:spacing w:after="120"/>
        <w:ind w:right="13" w:hanging="360"/>
      </w:pPr>
      <w:r>
        <w:t>Faktura</w:t>
      </w:r>
      <w:r>
        <w:t>-</w:t>
      </w:r>
      <w:r>
        <w:t>daňový doklad Poskytovatele bude splňovat náležitosti daňového dokladu dle zákona</w:t>
      </w:r>
      <w:r>
        <w:t xml:space="preserve"> </w:t>
      </w:r>
      <w:r>
        <w:t>č.</w:t>
      </w:r>
      <w:r>
        <w:t xml:space="preserve"> </w:t>
      </w:r>
      <w:r>
        <w:t>235/2004 Sb. o DPH v</w:t>
      </w:r>
      <w:r>
        <w:t xml:space="preserve"> </w:t>
      </w:r>
      <w:r>
        <w:t>platném znění. Dále bude obsahovat číslo smlouvy, číslo objednávky</w:t>
      </w:r>
      <w:r>
        <w:t xml:space="preserve">, celkovou cenu bez DPH a včetně DPH. V případě, že faktura nebude mít odpovídající náležitosti, je Příjemce oprávněn ji vrátit ve lhůtě splatnosti zpět </w:t>
      </w:r>
      <w:r>
        <w:t xml:space="preserve">poskytovateli </w:t>
      </w:r>
      <w:r>
        <w:lastRenderedPageBreak/>
        <w:t xml:space="preserve">k </w:t>
      </w:r>
      <w:r>
        <w:t xml:space="preserve">doplnění, aniž se tak dostane do prodlení se splatností. Lhůta splatnosti počíná běžet </w:t>
      </w:r>
      <w:r>
        <w:t>znovu od opětovného doručení náležitě doplněné či opravené faktury Příjemci.</w:t>
      </w:r>
      <w:r>
        <w:t xml:space="preserve"> </w:t>
      </w:r>
    </w:p>
    <w:p w:rsidR="00EE7D31" w:rsidRDefault="00140C34">
      <w:pPr>
        <w:numPr>
          <w:ilvl w:val="0"/>
          <w:numId w:val="13"/>
        </w:numPr>
        <w:spacing w:after="126"/>
        <w:ind w:right="13" w:hanging="360"/>
      </w:pPr>
      <w:r>
        <w:t>Faktura bude vystavena podle počtu poskytnutých licencí na 12 kalendářních měsíců</w:t>
      </w:r>
      <w:r>
        <w:t xml:space="preserve"> </w:t>
      </w:r>
      <w:r>
        <w:t xml:space="preserve">za </w:t>
      </w:r>
      <w:r>
        <w:t>jed</w:t>
      </w:r>
      <w:r>
        <w:t>notkovou cenu uvedenou v</w:t>
      </w:r>
      <w:r>
        <w:t xml:space="preserve"> </w:t>
      </w:r>
      <w:r>
        <w:t>příloze této smlouvy, a to ke dni uskutečnění zdanitelného plnění</w:t>
      </w:r>
      <w:r>
        <w:t>. Faktura bude doručena na adresu sídla Příjemce. Jiný způsob doručení faktury (daňového dokladu) není považován za řádné doručení faktury a</w:t>
      </w:r>
      <w:r>
        <w:t xml:space="preserve"> </w:t>
      </w:r>
      <w:r>
        <w:t>Příjemci v</w:t>
      </w:r>
      <w:r>
        <w:t xml:space="preserve"> tomto </w:t>
      </w:r>
      <w:r>
        <w:t>případě nevzniká povinnost fakturu uhradit.</w:t>
      </w:r>
      <w:r>
        <w:t xml:space="preserve"> </w:t>
      </w:r>
    </w:p>
    <w:p w:rsidR="00EE7D31" w:rsidRDefault="00140C34">
      <w:pPr>
        <w:numPr>
          <w:ilvl w:val="0"/>
          <w:numId w:val="13"/>
        </w:numPr>
        <w:ind w:right="13" w:hanging="360"/>
      </w:pPr>
      <w:r>
        <w:t>Jednotková cena je cenou maximální a nepřekročitelnou</w:t>
      </w:r>
      <w:r>
        <w:t xml:space="preserve"> a zahrnuje veškeré náklady, rizika, zisk a finanční vlivy spojené s</w:t>
      </w:r>
      <w:r>
        <w:t xml:space="preserve"> </w:t>
      </w:r>
      <w:r>
        <w:t>plněním předmětu Smlouvy. Změna ceny je možná zásadně</w:t>
      </w:r>
      <w:r>
        <w:t xml:space="preserve"> </w:t>
      </w:r>
      <w:r>
        <w:t>v závislosti na změně předpisů upravujících výši DPH.</w:t>
      </w:r>
      <w:r>
        <w:t xml:space="preserve"> </w:t>
      </w:r>
    </w:p>
    <w:p w:rsidR="00EE7D31" w:rsidRDefault="00140C34">
      <w:pPr>
        <w:spacing w:after="215" w:line="259" w:lineRule="auto"/>
        <w:ind w:left="56" w:firstLine="0"/>
        <w:jc w:val="center"/>
      </w:pPr>
      <w:r>
        <w:t xml:space="preserve"> </w:t>
      </w:r>
    </w:p>
    <w:p w:rsidR="00EE7D31" w:rsidRDefault="00140C34">
      <w:pPr>
        <w:spacing w:after="0" w:line="259" w:lineRule="auto"/>
        <w:ind w:left="16" w:right="7"/>
        <w:jc w:val="center"/>
      </w:pPr>
      <w:r>
        <w:t>Článek VI.</w:t>
      </w:r>
      <w:r>
        <w:t xml:space="preserve"> </w:t>
      </w:r>
    </w:p>
    <w:p w:rsidR="00EE7D31" w:rsidRDefault="00140C34">
      <w:pPr>
        <w:pStyle w:val="Nadpis1"/>
        <w:ind w:left="16" w:right="6"/>
      </w:pPr>
      <w:r>
        <w:t>Smluvní sankce</w:t>
      </w:r>
      <w:r>
        <w:t xml:space="preserve"> </w:t>
      </w:r>
    </w:p>
    <w:p w:rsidR="00EE7D31" w:rsidRDefault="00140C34">
      <w:pPr>
        <w:numPr>
          <w:ilvl w:val="0"/>
          <w:numId w:val="14"/>
        </w:numPr>
        <w:spacing w:after="110"/>
        <w:ind w:right="13" w:hanging="360"/>
      </w:pPr>
      <w:r>
        <w:t>Při nedodržení dodacích lhůt se Poskytovatel zavazuje zaplatit smluvní pokutu ve výši 0,5% z ceny nedodaného plnění za každý i započatý den prodlení.</w:t>
      </w:r>
      <w:r>
        <w:t xml:space="preserve"> </w:t>
      </w:r>
    </w:p>
    <w:p w:rsidR="00EE7D31" w:rsidRDefault="00140C34">
      <w:pPr>
        <w:numPr>
          <w:ilvl w:val="0"/>
          <w:numId w:val="14"/>
        </w:numPr>
        <w:spacing w:after="110"/>
        <w:ind w:right="13" w:hanging="360"/>
      </w:pPr>
      <w:r>
        <w:t>Při nedodržení lhůty dle článku III. odst. 1 smlouvy se Poskytovatel zavazuje zaplatit smluvní pokutu ve výši 500,</w:t>
      </w:r>
      <w:r>
        <w:t xml:space="preserve">- </w:t>
      </w:r>
      <w:r>
        <w:t>Kč</w:t>
      </w:r>
      <w:r>
        <w:t xml:space="preserve"> </w:t>
      </w:r>
      <w:r>
        <w:t>za každý i započatý den prodlení.</w:t>
      </w:r>
      <w:r>
        <w:t xml:space="preserve"> </w:t>
      </w:r>
    </w:p>
    <w:p w:rsidR="00EE7D31" w:rsidRDefault="00140C34">
      <w:pPr>
        <w:numPr>
          <w:ilvl w:val="0"/>
          <w:numId w:val="14"/>
        </w:numPr>
        <w:spacing w:after="110"/>
        <w:ind w:right="13" w:hanging="360"/>
      </w:pPr>
      <w:r>
        <w:t xml:space="preserve">V případě prodlení Příjemce s úhradou faktury je Poskytovatel oprávněn uplatnit vůči Příjemci smluvní </w:t>
      </w:r>
      <w:r>
        <w:t>úrok z prodlení ve výši max. 0,05 % z dlužné částky za každý i jen započatý den prodlení s úhradou faktury.</w:t>
      </w:r>
      <w:r>
        <w:t xml:space="preserve"> </w:t>
      </w:r>
    </w:p>
    <w:p w:rsidR="00EE7D31" w:rsidRDefault="00140C34">
      <w:pPr>
        <w:numPr>
          <w:ilvl w:val="0"/>
          <w:numId w:val="14"/>
        </w:numPr>
        <w:spacing w:after="110"/>
        <w:ind w:right="13" w:hanging="360"/>
      </w:pPr>
      <w:r>
        <w:t>Úhradou smluvní pokuty zůstávají nedotčena práva objednatele na náhradu škody v</w:t>
      </w:r>
      <w:r>
        <w:t xml:space="preserve"> </w:t>
      </w:r>
      <w:r>
        <w:t>plné výši.</w:t>
      </w:r>
      <w:r>
        <w:t xml:space="preserve"> </w:t>
      </w:r>
    </w:p>
    <w:p w:rsidR="00EE7D31" w:rsidRDefault="00140C34">
      <w:pPr>
        <w:numPr>
          <w:ilvl w:val="0"/>
          <w:numId w:val="14"/>
        </w:numPr>
        <w:ind w:right="13" w:hanging="360"/>
      </w:pPr>
      <w:r>
        <w:t>Příjemce je oprávněn jakoukoliv smluvní pokutu jednostr</w:t>
      </w:r>
      <w:r>
        <w:t>anně započítat proti jakékoli pohledávce Poskytovatele za Příjemcem, a to včetně pohledávky Poskytovatele na zaplacení ceny</w:t>
      </w:r>
      <w:r>
        <w:t xml:space="preserve"> </w:t>
      </w:r>
    </w:p>
    <w:p w:rsidR="00EE7D31" w:rsidRDefault="00140C34">
      <w:pPr>
        <w:spacing w:after="0" w:line="259" w:lineRule="auto"/>
        <w:ind w:left="56" w:firstLine="0"/>
        <w:jc w:val="center"/>
      </w:pPr>
      <w:r>
        <w:t xml:space="preserve"> </w:t>
      </w:r>
    </w:p>
    <w:p w:rsidR="00EE7D31" w:rsidRDefault="00140C34">
      <w:pPr>
        <w:spacing w:after="0" w:line="259" w:lineRule="auto"/>
        <w:ind w:left="16" w:right="10"/>
        <w:jc w:val="center"/>
      </w:pPr>
      <w:r>
        <w:t>Článek VII.</w:t>
      </w:r>
      <w:r>
        <w:t xml:space="preserve"> </w:t>
      </w:r>
    </w:p>
    <w:p w:rsidR="00EE7D31" w:rsidRDefault="00140C34">
      <w:pPr>
        <w:pStyle w:val="Nadpis1"/>
        <w:ind w:left="16" w:right="12"/>
      </w:pPr>
      <w:r>
        <w:t>Realizační tým</w:t>
      </w:r>
      <w:r>
        <w:t xml:space="preserve"> </w:t>
      </w:r>
    </w:p>
    <w:p w:rsidR="00EE7D31" w:rsidRDefault="00140C34">
      <w:pPr>
        <w:numPr>
          <w:ilvl w:val="0"/>
          <w:numId w:val="15"/>
        </w:numPr>
        <w:spacing w:after="110"/>
        <w:ind w:right="13" w:hanging="425"/>
      </w:pPr>
      <w:r>
        <w:t>Poskytovatel se zavazuje disponovat po celou dobu plnění dle této smlouvy osobami</w:t>
      </w:r>
      <w:r>
        <w:t xml:space="preserve">, </w:t>
      </w:r>
      <w:r>
        <w:t>kterými prokazova</w:t>
      </w:r>
      <w:r>
        <w:t>l kvalifikační předpoklady v</w:t>
      </w:r>
      <w:r>
        <w:t xml:space="preserve"> </w:t>
      </w:r>
      <w:r>
        <w:t>zadávacím řízení uvedeném v</w:t>
      </w:r>
      <w:r>
        <w:t xml:space="preserve"> </w:t>
      </w:r>
      <w:r>
        <w:t>preambuli této s</w:t>
      </w:r>
      <w:r>
        <w:t xml:space="preserve">mlouvy, nebo v </w:t>
      </w:r>
      <w:r>
        <w:t xml:space="preserve">případě změny těchto osob, osobami, které </w:t>
      </w:r>
      <w:r>
        <w:t xml:space="preserve">tyto </w:t>
      </w:r>
      <w:r>
        <w:t>kvalifikační předpoklady splňují.</w:t>
      </w:r>
      <w:r>
        <w:t xml:space="preserve">  </w:t>
      </w:r>
    </w:p>
    <w:p w:rsidR="00EE7D31" w:rsidRDefault="00140C34">
      <w:pPr>
        <w:numPr>
          <w:ilvl w:val="0"/>
          <w:numId w:val="15"/>
        </w:numPr>
        <w:ind w:right="13" w:hanging="425"/>
      </w:pPr>
      <w:r>
        <w:t>Poskytovatel se zavazuje písemně oznámit Objednateli případnou změnu</w:t>
      </w:r>
      <w:r>
        <w:t xml:space="preserve"> osob dle </w:t>
      </w:r>
      <w:r>
        <w:t>odst.</w:t>
      </w:r>
      <w:r>
        <w:t xml:space="preserve"> </w:t>
      </w:r>
      <w:r>
        <w:t>1.</w:t>
      </w:r>
      <w:r>
        <w:t xml:space="preserve"> </w:t>
      </w:r>
    </w:p>
    <w:p w:rsidR="00EE7D31" w:rsidRDefault="00140C34">
      <w:pPr>
        <w:spacing w:after="0" w:line="259" w:lineRule="auto"/>
        <w:ind w:left="1" w:firstLine="0"/>
        <w:jc w:val="left"/>
      </w:pPr>
      <w:r>
        <w:t xml:space="preserve"> </w:t>
      </w:r>
    </w:p>
    <w:p w:rsidR="00EE7D31" w:rsidRDefault="00140C34">
      <w:pPr>
        <w:spacing w:after="0" w:line="259" w:lineRule="auto"/>
        <w:ind w:left="16" w:right="8"/>
        <w:jc w:val="center"/>
      </w:pPr>
      <w:r>
        <w:t>Článek VIII.</w:t>
      </w:r>
      <w:r>
        <w:t xml:space="preserve"> </w:t>
      </w:r>
    </w:p>
    <w:p w:rsidR="00EE7D31" w:rsidRDefault="00140C34">
      <w:pPr>
        <w:pStyle w:val="Nadpis1"/>
        <w:ind w:left="16" w:right="5"/>
      </w:pPr>
      <w:r>
        <w:t>Doba trvání smlouvy, ukončení smlouvy</w:t>
      </w:r>
      <w:r>
        <w:t xml:space="preserve"> </w:t>
      </w:r>
    </w:p>
    <w:p w:rsidR="00EE7D31" w:rsidRDefault="00140C34">
      <w:pPr>
        <w:numPr>
          <w:ilvl w:val="0"/>
          <w:numId w:val="16"/>
        </w:numPr>
        <w:spacing w:after="110"/>
        <w:ind w:right="13" w:hanging="358"/>
      </w:pPr>
      <w:r>
        <w:t xml:space="preserve">Tato smlouva je sjednána na </w:t>
      </w:r>
      <w:r>
        <w:t xml:space="preserve">dobu určitou, a to </w:t>
      </w:r>
      <w:r>
        <w:rPr>
          <w:b/>
        </w:rPr>
        <w:t>36 měsíců</w:t>
      </w:r>
      <w:r>
        <w:t xml:space="preserve"> </w:t>
      </w:r>
      <w:r>
        <w:t xml:space="preserve">s účinností </w:t>
      </w:r>
      <w:r>
        <w:t xml:space="preserve">od </w:t>
      </w:r>
      <w:r>
        <w:t>1. 12.</w:t>
      </w:r>
      <w:r>
        <w:t xml:space="preserve"> </w:t>
      </w:r>
      <w:r>
        <w:t>2021, nejdříve však od uveřejnění smlouvy v</w:t>
      </w:r>
      <w:r>
        <w:t xml:space="preserve"> </w:t>
      </w:r>
      <w:r>
        <w:t xml:space="preserve">registru smluv. Platnost smlouvy může být ukončena pouze písemnou dohodou </w:t>
      </w:r>
      <w:r>
        <w:t>smluvních stran nebo výpovědí. Výpovědní lhůta činí dva měsíce a počíná plynout prvním dnem měsíce následujícího po doručení výpovědi druhé smluvní straně.</w:t>
      </w:r>
      <w:r>
        <w:t xml:space="preserve"> </w:t>
      </w:r>
    </w:p>
    <w:p w:rsidR="00EE7D31" w:rsidRDefault="00140C34">
      <w:pPr>
        <w:numPr>
          <w:ilvl w:val="0"/>
          <w:numId w:val="16"/>
        </w:numPr>
        <w:spacing w:after="110"/>
        <w:ind w:right="13" w:hanging="358"/>
      </w:pPr>
      <w:r>
        <w:t>Jestliže jakákoliv ze smluvních stran nedodrží své závazky dané touto smlouvou a svou povinnost nes</w:t>
      </w:r>
      <w:r>
        <w:t>plní ani ve lhůtě šesti týdnů po obdržení písemného upozornění na tuto skutečnost od druhé smluvní strany, druhá smluvní strana může odstoupit od smlouvy jako celku nebo od té části smlouvy, které se porušení povinnosti smluvní stranou týká, aniž by se tím</w:t>
      </w:r>
      <w:r>
        <w:t xml:space="preserve"> zbavovala jakýchkoliv svých jiných práv. Odstoupení je účinné okamžitě.</w:t>
      </w:r>
      <w:r>
        <w:t xml:space="preserve"> </w:t>
      </w:r>
    </w:p>
    <w:p w:rsidR="00EE7D31" w:rsidRDefault="00140C34">
      <w:pPr>
        <w:numPr>
          <w:ilvl w:val="0"/>
          <w:numId w:val="16"/>
        </w:numPr>
        <w:spacing w:after="110"/>
        <w:ind w:right="13" w:hanging="358"/>
      </w:pPr>
      <w:r>
        <w:lastRenderedPageBreak/>
        <w:t>Příjemce je oprávněn odstoupit bez jakýchkoliv sankcí od smlouvy v případě, že Poskytovatel bude v</w:t>
      </w:r>
      <w:r>
        <w:t xml:space="preserve"> </w:t>
      </w:r>
      <w:r>
        <w:t>prodlení s</w:t>
      </w:r>
      <w:r>
        <w:t xml:space="preserve"> </w:t>
      </w:r>
      <w:r>
        <w:t>dodáním i části předmětu smlouvy nebo nedojde k</w:t>
      </w:r>
      <w:r>
        <w:t xml:space="preserve"> dodání </w:t>
      </w:r>
      <w:r>
        <w:t>i části plnění ve</w:t>
      </w:r>
      <w:r>
        <w:t xml:space="preserve"> smluvené kvalitě, či v</w:t>
      </w:r>
      <w:r>
        <w:t xml:space="preserve"> </w:t>
      </w:r>
      <w:r>
        <w:t>kvalitě obvyklé.</w:t>
      </w:r>
      <w:r>
        <w:t xml:space="preserve"> </w:t>
      </w:r>
    </w:p>
    <w:p w:rsidR="00EE7D31" w:rsidRDefault="00140C34">
      <w:pPr>
        <w:numPr>
          <w:ilvl w:val="0"/>
          <w:numId w:val="16"/>
        </w:numPr>
        <w:spacing w:after="110"/>
        <w:ind w:right="13" w:hanging="358"/>
      </w:pPr>
      <w:r>
        <w:t>Příjemce je oprávněn odstoupit od smlouvy v případě, že Poskytovatel pozbude autorizace k poskytování požadovaných licencí.</w:t>
      </w:r>
      <w:r>
        <w:t xml:space="preserve">  </w:t>
      </w:r>
    </w:p>
    <w:p w:rsidR="00EE7D31" w:rsidRDefault="00140C34">
      <w:pPr>
        <w:numPr>
          <w:ilvl w:val="0"/>
          <w:numId w:val="16"/>
        </w:numPr>
        <w:ind w:right="13" w:hanging="358"/>
      </w:pPr>
      <w:r>
        <w:t>Úhradou jakékoliv smluvní pokuty zůstávají nedotčena práva Příjemce na</w:t>
      </w:r>
      <w:r>
        <w:t xml:space="preserve"> </w:t>
      </w:r>
      <w:r>
        <w:t xml:space="preserve">náhradu škody </w:t>
      </w:r>
      <w:r>
        <w:t xml:space="preserve">v </w:t>
      </w:r>
      <w:r>
        <w:t>p</w:t>
      </w:r>
      <w:r>
        <w:t>lné výši.</w:t>
      </w:r>
      <w:r>
        <w:t xml:space="preserve"> </w:t>
      </w:r>
    </w:p>
    <w:p w:rsidR="00EE7D31" w:rsidRDefault="00140C34">
      <w:pPr>
        <w:spacing w:after="0" w:line="259" w:lineRule="auto"/>
        <w:ind w:left="16" w:right="8"/>
        <w:jc w:val="center"/>
      </w:pPr>
      <w:r>
        <w:t>Článek IX.</w:t>
      </w:r>
      <w:r>
        <w:t xml:space="preserve"> </w:t>
      </w:r>
    </w:p>
    <w:p w:rsidR="00EE7D31" w:rsidRDefault="00140C34">
      <w:pPr>
        <w:pStyle w:val="Nadpis1"/>
        <w:ind w:left="16" w:right="11"/>
      </w:pPr>
      <w:r>
        <w:t>Závěrečná ustanovení</w:t>
      </w:r>
      <w:r>
        <w:t xml:space="preserve"> </w:t>
      </w:r>
    </w:p>
    <w:p w:rsidR="00EE7D31" w:rsidRDefault="00140C34">
      <w:pPr>
        <w:numPr>
          <w:ilvl w:val="0"/>
          <w:numId w:val="17"/>
        </w:numPr>
        <w:spacing w:after="110"/>
        <w:ind w:right="13" w:hanging="360"/>
      </w:pPr>
      <w:r>
        <w:t>Pokud není v</w:t>
      </w:r>
      <w:r>
        <w:t xml:space="preserve"> </w:t>
      </w:r>
      <w:r>
        <w:t xml:space="preserve">této smlouvě sjednáno něco jiného, platí pro vztahy mezi Poskytovatelem </w:t>
      </w:r>
      <w:r>
        <w:t xml:space="preserve">a </w:t>
      </w:r>
      <w:r>
        <w:t>Příjemcem ustanovení zák. č. 89/2012 Sb., v</w:t>
      </w:r>
      <w:r>
        <w:t xml:space="preserve"> </w:t>
      </w:r>
      <w:r>
        <w:t>platném znění.</w:t>
      </w:r>
      <w:r>
        <w:t xml:space="preserve"> </w:t>
      </w:r>
    </w:p>
    <w:p w:rsidR="00EE7D31" w:rsidRDefault="00140C34">
      <w:pPr>
        <w:numPr>
          <w:ilvl w:val="0"/>
          <w:numId w:val="17"/>
        </w:numPr>
        <w:spacing w:after="110"/>
        <w:ind w:right="13" w:hanging="360"/>
      </w:pPr>
      <w:r>
        <w:t>Poskytovatel prohlašuje, že je oprávněným dodavatelem licencí, které jsou předmětem této smlouvy.</w:t>
      </w:r>
      <w:r>
        <w:t xml:space="preserve">  </w:t>
      </w:r>
    </w:p>
    <w:p w:rsidR="00EE7D31" w:rsidRDefault="00140C34">
      <w:pPr>
        <w:numPr>
          <w:ilvl w:val="0"/>
          <w:numId w:val="17"/>
        </w:numPr>
        <w:spacing w:after="110"/>
        <w:ind w:right="13" w:hanging="360"/>
      </w:pPr>
      <w:r>
        <w:t>V případě neaktuálnosti licenčního pojmenování v rámci této smlouvy se za platné považuje nástupnické pojmenování bez omezení platnosti této smlouvy.</w:t>
      </w:r>
      <w:r>
        <w:t xml:space="preserve"> </w:t>
      </w:r>
    </w:p>
    <w:p w:rsidR="00EE7D31" w:rsidRDefault="00140C34">
      <w:pPr>
        <w:numPr>
          <w:ilvl w:val="0"/>
          <w:numId w:val="17"/>
        </w:numPr>
        <w:spacing w:after="110"/>
        <w:ind w:right="13" w:hanging="360"/>
      </w:pPr>
      <w:r>
        <w:t>Příje</w:t>
      </w:r>
      <w:r>
        <w:t>mce je oprávněn kdykoli v</w:t>
      </w:r>
      <w:r>
        <w:t xml:space="preserve"> </w:t>
      </w:r>
      <w:r>
        <w:t xml:space="preserve">průběhu trvání této smlouvy vyžadovat jejich předložení. Porušení povinnosti poskytovatele dle věty první je považováno za podstatné porušení smlouvy. </w:t>
      </w:r>
      <w:r>
        <w:t xml:space="preserve"> </w:t>
      </w:r>
    </w:p>
    <w:p w:rsidR="00EE7D31" w:rsidRDefault="00140C34">
      <w:pPr>
        <w:numPr>
          <w:ilvl w:val="0"/>
          <w:numId w:val="17"/>
        </w:numPr>
        <w:spacing w:after="110"/>
        <w:ind w:right="13" w:hanging="360"/>
      </w:pPr>
      <w:r>
        <w:t>Poskytovatel se zavazuje spolupůsobit jako osoba povinná v souladu se zákonem</w:t>
      </w:r>
      <w:r>
        <w:t xml:space="preserve"> č.</w:t>
      </w:r>
      <w:r>
        <w:t xml:space="preserve"> </w:t>
      </w:r>
      <w:r>
        <w:t>320/2001 Sb., o finanční kontrole ve veřejné správě a o změně některých zákonů (zákon o finanční kontrole), ve znění pozdějších předpisů.</w:t>
      </w:r>
      <w:r>
        <w:t xml:space="preserve"> </w:t>
      </w:r>
    </w:p>
    <w:p w:rsidR="00EE7D31" w:rsidRDefault="00140C34">
      <w:pPr>
        <w:numPr>
          <w:ilvl w:val="0"/>
          <w:numId w:val="17"/>
        </w:numPr>
        <w:spacing w:after="110"/>
        <w:ind w:right="13" w:hanging="360"/>
      </w:pPr>
      <w:r>
        <w:t>Jakékoliv</w:t>
      </w:r>
      <w:r>
        <w:t xml:space="preserve"> </w:t>
      </w:r>
      <w:r>
        <w:t>změny nebo doplňky této smlouvy jsou vázány na souhlas obou smluvních stran a</w:t>
      </w:r>
      <w:r>
        <w:t xml:space="preserve"> </w:t>
      </w:r>
      <w:r>
        <w:t>musí být provedeny formou písemného číslovaného dodatku k</w:t>
      </w:r>
      <w:r>
        <w:t xml:space="preserve"> </w:t>
      </w:r>
      <w:r>
        <w:t>této smlouvě.</w:t>
      </w:r>
      <w:r>
        <w:t xml:space="preserve"> </w:t>
      </w:r>
    </w:p>
    <w:p w:rsidR="00EE7D31" w:rsidRDefault="00140C34">
      <w:pPr>
        <w:numPr>
          <w:ilvl w:val="0"/>
          <w:numId w:val="17"/>
        </w:numPr>
        <w:spacing w:after="110"/>
        <w:ind w:right="13" w:hanging="360"/>
      </w:pPr>
      <w:r>
        <w:t xml:space="preserve">Tato smlouva je </w:t>
      </w:r>
      <w:r>
        <w:t>uzavřena elektronicky.</w:t>
      </w:r>
      <w:r>
        <w:t xml:space="preserve"> </w:t>
      </w:r>
    </w:p>
    <w:p w:rsidR="00EE7D31" w:rsidRDefault="00140C34">
      <w:pPr>
        <w:numPr>
          <w:ilvl w:val="0"/>
          <w:numId w:val="17"/>
        </w:numPr>
        <w:spacing w:after="135"/>
        <w:ind w:right="13" w:hanging="360"/>
      </w:pPr>
      <w:r>
        <w:t>Smluvní strany prohlašují, že si text smlouvy důkladně přečetly, s</w:t>
      </w:r>
      <w:r>
        <w:t xml:space="preserve"> </w:t>
      </w:r>
      <w:r>
        <w:t>jeho obsahem souhlasí a že tato smlouva byla uzavřena podle jejich skutečné,</w:t>
      </w:r>
      <w:r>
        <w:t xml:space="preserve"> svobodné a vážné vůle, nikoli v tísni a za nápadně nevýhodných podmínek a na důkaz toho pod ni připojují své podpisy.</w:t>
      </w:r>
      <w:r>
        <w:t xml:space="preserve"> </w:t>
      </w:r>
    </w:p>
    <w:p w:rsidR="00EE7D31" w:rsidRDefault="00140C34">
      <w:pPr>
        <w:tabs>
          <w:tab w:val="center" w:pos="1119"/>
          <w:tab w:val="center" w:pos="6128"/>
        </w:tabs>
        <w:spacing w:after="222" w:line="259" w:lineRule="auto"/>
        <w:ind w:left="0" w:firstLine="0"/>
        <w:jc w:val="left"/>
      </w:pPr>
      <w:r>
        <w:rPr>
          <w:rFonts w:ascii="Calibri" w:eastAsia="Calibri" w:hAnsi="Calibri" w:cs="Calibri"/>
        </w:rPr>
        <w:tab/>
      </w:r>
      <w:r>
        <w:t xml:space="preserve">Za objednatele: </w:t>
      </w:r>
      <w:r>
        <w:tab/>
        <w:t xml:space="preserve">Za dodavatele: </w:t>
      </w:r>
    </w:p>
    <w:p w:rsidR="00EE7D31" w:rsidRDefault="00140C34">
      <w:pPr>
        <w:spacing w:after="218" w:line="259" w:lineRule="auto"/>
        <w:ind w:left="0" w:firstLine="0"/>
        <w:jc w:val="left"/>
      </w:pPr>
      <w:r>
        <w:t xml:space="preserve"> </w:t>
      </w:r>
    </w:p>
    <w:p w:rsidR="00EE7D31" w:rsidRDefault="00140C34">
      <w:pPr>
        <w:spacing w:after="235" w:line="259" w:lineRule="auto"/>
        <w:ind w:left="360" w:firstLine="0"/>
        <w:jc w:val="left"/>
      </w:pPr>
      <w:r>
        <w:t xml:space="preserve"> </w:t>
      </w:r>
    </w:p>
    <w:p w:rsidR="00EE7D31" w:rsidRDefault="00140C34">
      <w:pPr>
        <w:tabs>
          <w:tab w:val="center" w:pos="1568"/>
          <w:tab w:val="center" w:pos="3540"/>
          <w:tab w:val="center" w:pos="4248"/>
          <w:tab w:val="center" w:pos="6302"/>
        </w:tabs>
        <w:spacing w:after="17" w:line="259" w:lineRule="auto"/>
        <w:ind w:left="0" w:firstLine="0"/>
        <w:jc w:val="left"/>
      </w:pPr>
      <w:r>
        <w:rPr>
          <w:rFonts w:ascii="Calibri" w:eastAsia="Calibri" w:hAnsi="Calibri" w:cs="Calibri"/>
        </w:rPr>
        <w:tab/>
      </w:r>
      <w:r>
        <w:t xml:space="preserve">_____________________ </w:t>
      </w:r>
      <w:r>
        <w:tab/>
        <w:t xml:space="preserve"> </w:t>
      </w:r>
      <w:r>
        <w:tab/>
        <w:t xml:space="preserve"> </w:t>
      </w:r>
      <w:r>
        <w:tab/>
        <w:t xml:space="preserve">      ___________________     </w:t>
      </w:r>
    </w:p>
    <w:p w:rsidR="00EE7D31" w:rsidRDefault="00EE7D31">
      <w:pPr>
        <w:sectPr w:rsidR="00EE7D31">
          <w:pgSz w:w="11906" w:h="16838"/>
          <w:pgMar w:top="1208" w:right="1391" w:bottom="1294" w:left="1418" w:header="708" w:footer="708" w:gutter="0"/>
          <w:cols w:space="708"/>
        </w:sectPr>
      </w:pPr>
    </w:p>
    <w:p w:rsidR="00EE7D31" w:rsidRDefault="00140C34">
      <w:pPr>
        <w:spacing w:after="946" w:line="259" w:lineRule="auto"/>
        <w:ind w:left="259" w:firstLine="0"/>
        <w:jc w:val="left"/>
      </w:pPr>
      <w:r>
        <w:rPr>
          <w:sz w:val="20"/>
        </w:rPr>
        <w:lastRenderedPageBreak/>
        <w:t xml:space="preserve">Příloha č. 1 </w:t>
      </w:r>
    </w:p>
    <w:tbl>
      <w:tblPr>
        <w:tblStyle w:val="TableGrid"/>
        <w:tblW w:w="13858" w:type="dxa"/>
        <w:tblInd w:w="-19" w:type="dxa"/>
        <w:tblCellMar>
          <w:top w:w="0" w:type="dxa"/>
          <w:left w:w="115" w:type="dxa"/>
          <w:bottom w:w="0" w:type="dxa"/>
          <w:right w:w="50" w:type="dxa"/>
        </w:tblCellMar>
        <w:tblLook w:val="04A0" w:firstRow="1" w:lastRow="0" w:firstColumn="1" w:lastColumn="0" w:noHBand="0" w:noVBand="1"/>
      </w:tblPr>
      <w:tblGrid>
        <w:gridCol w:w="4248"/>
        <w:gridCol w:w="1248"/>
        <w:gridCol w:w="2268"/>
        <w:gridCol w:w="2976"/>
        <w:gridCol w:w="3118"/>
      </w:tblGrid>
      <w:tr w:rsidR="00EE7D31">
        <w:trPr>
          <w:trHeight w:val="1414"/>
        </w:trPr>
        <w:tc>
          <w:tcPr>
            <w:tcW w:w="4248" w:type="dxa"/>
            <w:tcBorders>
              <w:top w:val="single" w:sz="4" w:space="0" w:color="000000"/>
              <w:left w:val="single" w:sz="4" w:space="0" w:color="000000"/>
              <w:bottom w:val="single" w:sz="4" w:space="0" w:color="000000"/>
              <w:right w:val="single" w:sz="4" w:space="0" w:color="000000"/>
            </w:tcBorders>
            <w:vAlign w:val="center"/>
          </w:tcPr>
          <w:p w:rsidR="00EE7D31" w:rsidRDefault="00140C34">
            <w:pPr>
              <w:spacing w:after="0" w:line="259" w:lineRule="auto"/>
              <w:ind w:left="0" w:right="65" w:firstLine="0"/>
              <w:jc w:val="center"/>
            </w:pPr>
            <w:r>
              <w:rPr>
                <w:b/>
                <w:sz w:val="20"/>
              </w:rPr>
              <w:t xml:space="preserve">Organizace </w:t>
            </w:r>
          </w:p>
        </w:tc>
        <w:tc>
          <w:tcPr>
            <w:tcW w:w="1248" w:type="dxa"/>
            <w:tcBorders>
              <w:top w:val="single" w:sz="4" w:space="0" w:color="000000"/>
              <w:left w:val="single" w:sz="4" w:space="0" w:color="000000"/>
              <w:bottom w:val="single" w:sz="4" w:space="0" w:color="000000"/>
              <w:right w:val="single" w:sz="4" w:space="0" w:color="000000"/>
            </w:tcBorders>
            <w:vAlign w:val="center"/>
          </w:tcPr>
          <w:p w:rsidR="00EE7D31" w:rsidRDefault="00140C34">
            <w:pPr>
              <w:spacing w:after="0" w:line="259" w:lineRule="auto"/>
              <w:ind w:left="0" w:firstLine="0"/>
              <w:jc w:val="center"/>
            </w:pPr>
            <w:r>
              <w:rPr>
                <w:b/>
                <w:sz w:val="20"/>
              </w:rPr>
              <w:t xml:space="preserve">Počet licencí </w:t>
            </w:r>
          </w:p>
        </w:tc>
        <w:tc>
          <w:tcPr>
            <w:tcW w:w="2268" w:type="dxa"/>
            <w:tcBorders>
              <w:top w:val="single" w:sz="4" w:space="0" w:color="000000"/>
              <w:left w:val="single" w:sz="4" w:space="0" w:color="000000"/>
              <w:bottom w:val="single" w:sz="4" w:space="0" w:color="000000"/>
              <w:right w:val="single" w:sz="4" w:space="0" w:color="000000"/>
            </w:tcBorders>
            <w:vAlign w:val="center"/>
          </w:tcPr>
          <w:p w:rsidR="00EE7D31" w:rsidRDefault="00140C34">
            <w:pPr>
              <w:spacing w:after="2" w:line="239" w:lineRule="auto"/>
              <w:ind w:left="0" w:firstLine="0"/>
              <w:jc w:val="center"/>
            </w:pPr>
            <w:r>
              <w:rPr>
                <w:b/>
                <w:sz w:val="20"/>
              </w:rPr>
              <w:t xml:space="preserve">Cena jedné licence včetně souvisejících </w:t>
            </w:r>
          </w:p>
          <w:p w:rsidR="00EE7D31" w:rsidRDefault="00140C34">
            <w:pPr>
              <w:spacing w:after="0" w:line="259" w:lineRule="auto"/>
              <w:ind w:left="0" w:right="69" w:firstLine="0"/>
              <w:jc w:val="center"/>
            </w:pPr>
            <w:r>
              <w:rPr>
                <w:b/>
                <w:sz w:val="20"/>
              </w:rPr>
              <w:t xml:space="preserve">služeb bez DPH v </w:t>
            </w:r>
          </w:p>
          <w:p w:rsidR="00EE7D31" w:rsidRDefault="00140C34">
            <w:pPr>
              <w:spacing w:after="0" w:line="259" w:lineRule="auto"/>
              <w:ind w:left="0" w:right="67" w:firstLine="0"/>
              <w:jc w:val="center"/>
            </w:pPr>
            <w:r>
              <w:rPr>
                <w:b/>
                <w:sz w:val="20"/>
              </w:rPr>
              <w:t xml:space="preserve">Kč/rok </w:t>
            </w:r>
          </w:p>
        </w:tc>
        <w:tc>
          <w:tcPr>
            <w:tcW w:w="2976" w:type="dxa"/>
            <w:tcBorders>
              <w:top w:val="single" w:sz="4" w:space="0" w:color="000000"/>
              <w:left w:val="single" w:sz="4" w:space="0" w:color="000000"/>
              <w:bottom w:val="single" w:sz="4" w:space="0" w:color="000000"/>
              <w:right w:val="single" w:sz="4" w:space="0" w:color="000000"/>
            </w:tcBorders>
            <w:vAlign w:val="center"/>
          </w:tcPr>
          <w:p w:rsidR="00EE7D31" w:rsidRDefault="00140C34">
            <w:pPr>
              <w:spacing w:after="2" w:line="239" w:lineRule="auto"/>
              <w:ind w:left="0" w:firstLine="0"/>
              <w:jc w:val="center"/>
            </w:pPr>
            <w:r>
              <w:rPr>
                <w:b/>
                <w:sz w:val="20"/>
              </w:rPr>
              <w:t xml:space="preserve">Celkem licence včetně souvisejících služeb bez </w:t>
            </w:r>
          </w:p>
          <w:p w:rsidR="00EE7D31" w:rsidRDefault="00140C34">
            <w:pPr>
              <w:spacing w:after="0" w:line="259" w:lineRule="auto"/>
              <w:ind w:left="0" w:right="67" w:firstLine="0"/>
              <w:jc w:val="center"/>
            </w:pPr>
            <w:r>
              <w:rPr>
                <w:b/>
                <w:sz w:val="20"/>
              </w:rPr>
              <w:t xml:space="preserve">DPH v Kč/rok </w:t>
            </w:r>
          </w:p>
        </w:tc>
        <w:tc>
          <w:tcPr>
            <w:tcW w:w="3118" w:type="dxa"/>
            <w:tcBorders>
              <w:top w:val="single" w:sz="4" w:space="0" w:color="000000"/>
              <w:left w:val="single" w:sz="4" w:space="0" w:color="000000"/>
              <w:bottom w:val="single" w:sz="4" w:space="0" w:color="000000"/>
              <w:right w:val="single" w:sz="4" w:space="0" w:color="000000"/>
            </w:tcBorders>
            <w:vAlign w:val="center"/>
          </w:tcPr>
          <w:p w:rsidR="00EE7D31" w:rsidRDefault="00140C34">
            <w:pPr>
              <w:spacing w:after="2" w:line="239" w:lineRule="auto"/>
              <w:ind w:left="0" w:firstLine="0"/>
              <w:jc w:val="center"/>
            </w:pPr>
            <w:r>
              <w:rPr>
                <w:b/>
                <w:sz w:val="20"/>
              </w:rPr>
              <w:t xml:space="preserve">Celkem licence včetně souvisejících služeb včetně </w:t>
            </w:r>
          </w:p>
          <w:p w:rsidR="00EE7D31" w:rsidRDefault="00140C34">
            <w:pPr>
              <w:spacing w:after="0" w:line="259" w:lineRule="auto"/>
              <w:ind w:left="0" w:right="65" w:firstLine="0"/>
              <w:jc w:val="center"/>
            </w:pPr>
            <w:r>
              <w:rPr>
                <w:b/>
                <w:sz w:val="20"/>
              </w:rPr>
              <w:t xml:space="preserve">DPH v Kč/rok </w:t>
            </w:r>
          </w:p>
        </w:tc>
      </w:tr>
      <w:tr w:rsidR="00EE7D31">
        <w:trPr>
          <w:trHeight w:val="1709"/>
        </w:trPr>
        <w:tc>
          <w:tcPr>
            <w:tcW w:w="4248" w:type="dxa"/>
            <w:tcBorders>
              <w:top w:val="single" w:sz="4" w:space="0" w:color="000000"/>
              <w:left w:val="single" w:sz="4" w:space="0" w:color="000000"/>
              <w:bottom w:val="single" w:sz="4" w:space="0" w:color="000000"/>
              <w:right w:val="single" w:sz="4" w:space="0" w:color="000000"/>
            </w:tcBorders>
          </w:tcPr>
          <w:p w:rsidR="00EE7D31" w:rsidRDefault="00762FBC">
            <w:pPr>
              <w:spacing w:after="160" w:line="259" w:lineRule="auto"/>
              <w:ind w:left="0" w:firstLine="0"/>
              <w:jc w:val="left"/>
            </w:pPr>
            <w:r>
              <w:t>Střední škola uměleckoprůmyslová Ústí nad Orlicí</w:t>
            </w:r>
          </w:p>
        </w:tc>
        <w:tc>
          <w:tcPr>
            <w:tcW w:w="1248" w:type="dxa"/>
            <w:tcBorders>
              <w:top w:val="single" w:sz="4" w:space="0" w:color="000000"/>
              <w:left w:val="single" w:sz="4" w:space="0" w:color="000000"/>
              <w:bottom w:val="single" w:sz="4" w:space="0" w:color="000000"/>
              <w:right w:val="single" w:sz="4" w:space="0" w:color="000000"/>
            </w:tcBorders>
          </w:tcPr>
          <w:p w:rsidR="00EE7D31" w:rsidRDefault="00762FBC">
            <w:pPr>
              <w:spacing w:after="160" w:line="259" w:lineRule="auto"/>
              <w:ind w:left="0" w:firstLine="0"/>
              <w:jc w:val="left"/>
            </w:pPr>
            <w:r>
              <w:t>71</w:t>
            </w:r>
          </w:p>
        </w:tc>
        <w:tc>
          <w:tcPr>
            <w:tcW w:w="2268" w:type="dxa"/>
            <w:tcBorders>
              <w:top w:val="single" w:sz="4" w:space="0" w:color="000000"/>
              <w:left w:val="single" w:sz="4" w:space="0" w:color="000000"/>
              <w:bottom w:val="single" w:sz="4" w:space="0" w:color="000000"/>
              <w:right w:val="single" w:sz="4" w:space="0" w:color="000000"/>
            </w:tcBorders>
            <w:vAlign w:val="center"/>
          </w:tcPr>
          <w:p w:rsidR="00EE7D31" w:rsidRDefault="00762FBC">
            <w:pPr>
              <w:spacing w:after="0" w:line="259" w:lineRule="auto"/>
              <w:ind w:left="0" w:right="149" w:firstLine="0"/>
              <w:jc w:val="right"/>
            </w:pPr>
            <w:r>
              <w:rPr>
                <w:sz w:val="20"/>
              </w:rPr>
              <w:t>1 262,-</w:t>
            </w:r>
            <w:r w:rsidR="00140C34">
              <w:rPr>
                <w:sz w:val="20"/>
              </w:rPr>
              <w:t xml:space="preserve">Kč </w:t>
            </w:r>
          </w:p>
        </w:tc>
        <w:tc>
          <w:tcPr>
            <w:tcW w:w="2976" w:type="dxa"/>
            <w:tcBorders>
              <w:top w:val="single" w:sz="4" w:space="0" w:color="000000"/>
              <w:left w:val="single" w:sz="4" w:space="0" w:color="000000"/>
              <w:bottom w:val="single" w:sz="4" w:space="0" w:color="000000"/>
              <w:right w:val="single" w:sz="4" w:space="0" w:color="000000"/>
            </w:tcBorders>
            <w:vAlign w:val="center"/>
          </w:tcPr>
          <w:p w:rsidR="00EE7D31" w:rsidRDefault="00762FBC">
            <w:pPr>
              <w:spacing w:after="0" w:line="259" w:lineRule="auto"/>
              <w:ind w:left="0" w:right="59" w:firstLine="0"/>
              <w:jc w:val="right"/>
            </w:pPr>
            <w:r>
              <w:rPr>
                <w:sz w:val="20"/>
              </w:rPr>
              <w:t>89 602,-</w:t>
            </w:r>
            <w:r w:rsidR="00140C34">
              <w:rPr>
                <w:sz w:val="20"/>
              </w:rPr>
              <w:t xml:space="preserve">Kč </w:t>
            </w:r>
          </w:p>
        </w:tc>
        <w:tc>
          <w:tcPr>
            <w:tcW w:w="3118" w:type="dxa"/>
            <w:tcBorders>
              <w:top w:val="single" w:sz="4" w:space="0" w:color="000000"/>
              <w:left w:val="single" w:sz="4" w:space="0" w:color="000000"/>
              <w:bottom w:val="single" w:sz="4" w:space="0" w:color="000000"/>
              <w:right w:val="single" w:sz="4" w:space="0" w:color="000000"/>
            </w:tcBorders>
            <w:vAlign w:val="center"/>
          </w:tcPr>
          <w:p w:rsidR="00EE7D31" w:rsidRDefault="00762FBC">
            <w:pPr>
              <w:spacing w:after="0" w:line="259" w:lineRule="auto"/>
              <w:ind w:left="0" w:right="57" w:firstLine="0"/>
              <w:jc w:val="right"/>
            </w:pPr>
            <w:r>
              <w:rPr>
                <w:sz w:val="20"/>
              </w:rPr>
              <w:t>108 418,42,-</w:t>
            </w:r>
            <w:bookmarkStart w:id="0" w:name="_GoBack"/>
            <w:bookmarkEnd w:id="0"/>
            <w:r w:rsidR="00140C34">
              <w:rPr>
                <w:sz w:val="20"/>
              </w:rPr>
              <w:t xml:space="preserve">Kč </w:t>
            </w:r>
          </w:p>
        </w:tc>
      </w:tr>
    </w:tbl>
    <w:p w:rsidR="00140C34" w:rsidRDefault="00140C34"/>
    <w:sectPr w:rsidR="00140C34">
      <w:pgSz w:w="16838" w:h="11906" w:orient="landscape"/>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3EAF"/>
    <w:multiLevelType w:val="hybridMultilevel"/>
    <w:tmpl w:val="1590B20C"/>
    <w:lvl w:ilvl="0" w:tplc="F59C272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2054E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B6819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86694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F0880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42E3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8099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D80BC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CAB81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9F7033"/>
    <w:multiLevelType w:val="hybridMultilevel"/>
    <w:tmpl w:val="69F8EDD4"/>
    <w:lvl w:ilvl="0" w:tplc="75E43AC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5E511A">
      <w:start w:val="1"/>
      <w:numFmt w:val="lowerLetter"/>
      <w:lvlText w:val="%2"/>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DC61FC">
      <w:start w:val="1"/>
      <w:numFmt w:val="lowerLetter"/>
      <w:lvlRestart w:val="0"/>
      <w:lvlText w:val="%3)"/>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CEC0A4">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560DF8">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C2BE9E">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C841F2">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889AF6">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6C822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2E2346"/>
    <w:multiLevelType w:val="hybridMultilevel"/>
    <w:tmpl w:val="B4D4A464"/>
    <w:lvl w:ilvl="0" w:tplc="42985104">
      <w:start w:val="1"/>
      <w:numFmt w:val="decimal"/>
      <w:lvlText w:val="%1."/>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4AA734">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3C0172">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9EEC58">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103C3C">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7A82EC">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769DB2">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FC227A">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D80DD0">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4824AE"/>
    <w:multiLevelType w:val="hybridMultilevel"/>
    <w:tmpl w:val="CF0A7260"/>
    <w:lvl w:ilvl="0" w:tplc="6A665D4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9C19D6">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BC1BB8">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E69AC2">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C4199A">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3616F6">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C26DCC">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8671D2">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B8D702">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D877C7"/>
    <w:multiLevelType w:val="hybridMultilevel"/>
    <w:tmpl w:val="CA10588A"/>
    <w:lvl w:ilvl="0" w:tplc="0374E3C8">
      <w:start w:val="1"/>
      <w:numFmt w:val="decimal"/>
      <w:lvlText w:val="%1."/>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065AF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AA4B0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9C8279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30C07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609A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E4B58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7C1B8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7621B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75A1687"/>
    <w:multiLevelType w:val="hybridMultilevel"/>
    <w:tmpl w:val="D9AEA520"/>
    <w:lvl w:ilvl="0" w:tplc="37C2630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ACD38E">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CE3A40">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52B328">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109B94">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541910">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906B70">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ECF980">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DC0BFC">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93719B9"/>
    <w:multiLevelType w:val="hybridMultilevel"/>
    <w:tmpl w:val="21D2FD90"/>
    <w:lvl w:ilvl="0" w:tplc="17FA349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9C50E0">
      <w:start w:val="1"/>
      <w:numFmt w:val="lowerLetter"/>
      <w:lvlText w:val="%2"/>
      <w:lvlJc w:val="left"/>
      <w:pPr>
        <w:ind w:left="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1FAC82E">
      <w:start w:val="1"/>
      <w:numFmt w:val="lowerRoman"/>
      <w:lvlText w:val="%3"/>
      <w:lvlJc w:val="left"/>
      <w:pPr>
        <w:ind w:left="15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5CF9E4">
      <w:start w:val="1"/>
      <w:numFmt w:val="lowerRoman"/>
      <w:lvlRestart w:val="0"/>
      <w:lvlText w:val="%4."/>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E2A4C8">
      <w:start w:val="1"/>
      <w:numFmt w:val="lowerLetter"/>
      <w:lvlText w:val="%5"/>
      <w:lvlJc w:val="left"/>
      <w:pPr>
        <w:ind w:left="2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6E2ABA">
      <w:start w:val="1"/>
      <w:numFmt w:val="lowerRoman"/>
      <w:lvlText w:val="%6"/>
      <w:lvlJc w:val="left"/>
      <w:pPr>
        <w:ind w:left="3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51A601E">
      <w:start w:val="1"/>
      <w:numFmt w:val="decimal"/>
      <w:lvlText w:val="%7"/>
      <w:lvlJc w:val="left"/>
      <w:pPr>
        <w:ind w:left="4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F09ED0">
      <w:start w:val="1"/>
      <w:numFmt w:val="lowerLetter"/>
      <w:lvlText w:val="%8"/>
      <w:lvlJc w:val="left"/>
      <w:pPr>
        <w:ind w:left="5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CE0D6E">
      <w:start w:val="1"/>
      <w:numFmt w:val="lowerRoman"/>
      <w:lvlText w:val="%9"/>
      <w:lvlJc w:val="left"/>
      <w:pPr>
        <w:ind w:left="5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F1350AB"/>
    <w:multiLevelType w:val="hybridMultilevel"/>
    <w:tmpl w:val="F9F619D2"/>
    <w:lvl w:ilvl="0" w:tplc="EDB8300C">
      <w:start w:val="1"/>
      <w:numFmt w:val="lowerLetter"/>
      <w:lvlText w:val="%1)"/>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2AC4E4">
      <w:start w:val="1"/>
      <w:numFmt w:val="lowerLetter"/>
      <w:lvlText w:val="%2"/>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9E20A8">
      <w:start w:val="1"/>
      <w:numFmt w:val="lowerRoman"/>
      <w:lvlText w:val="%3"/>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625F96">
      <w:start w:val="1"/>
      <w:numFmt w:val="decimal"/>
      <w:lvlText w:val="%4"/>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B20EC8">
      <w:start w:val="1"/>
      <w:numFmt w:val="lowerLetter"/>
      <w:lvlText w:val="%5"/>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8C5D30">
      <w:start w:val="1"/>
      <w:numFmt w:val="lowerRoman"/>
      <w:lvlText w:val="%6"/>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A07592">
      <w:start w:val="1"/>
      <w:numFmt w:val="decimal"/>
      <w:lvlText w:val="%7"/>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DC724C">
      <w:start w:val="1"/>
      <w:numFmt w:val="lowerLetter"/>
      <w:lvlText w:val="%8"/>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3A5666">
      <w:start w:val="1"/>
      <w:numFmt w:val="lowerRoman"/>
      <w:lvlText w:val="%9"/>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4E50E46"/>
    <w:multiLevelType w:val="hybridMultilevel"/>
    <w:tmpl w:val="78CEF6AC"/>
    <w:lvl w:ilvl="0" w:tplc="EAF2C2B6">
      <w:start w:val="1"/>
      <w:numFmt w:val="decimal"/>
      <w:lvlText w:val="%1."/>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C8456A">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AA02C6">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983A8E">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764402">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483378">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1CD1F4">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F45FF4">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4C9846">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0E61C42"/>
    <w:multiLevelType w:val="hybridMultilevel"/>
    <w:tmpl w:val="979A7D6C"/>
    <w:lvl w:ilvl="0" w:tplc="3014BEAE">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46F6D0">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43AE32E">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FA0516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0F09ACC">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08CE994">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BA8756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C642614">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6EE6E78">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DE11B6B"/>
    <w:multiLevelType w:val="hybridMultilevel"/>
    <w:tmpl w:val="021A1FD0"/>
    <w:lvl w:ilvl="0" w:tplc="CC545E4E">
      <w:start w:val="1"/>
      <w:numFmt w:val="lowerLetter"/>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C01A2E">
      <w:start w:val="1"/>
      <w:numFmt w:val="lowerLetter"/>
      <w:lvlText w:val="%2"/>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94F682">
      <w:start w:val="1"/>
      <w:numFmt w:val="lowerRoman"/>
      <w:lvlText w:val="%3"/>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B6394E">
      <w:start w:val="1"/>
      <w:numFmt w:val="decimal"/>
      <w:lvlText w:val="%4"/>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2E5FF0">
      <w:start w:val="1"/>
      <w:numFmt w:val="lowerLetter"/>
      <w:lvlText w:val="%5"/>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86DA06">
      <w:start w:val="1"/>
      <w:numFmt w:val="lowerRoman"/>
      <w:lvlText w:val="%6"/>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4AAE6C">
      <w:start w:val="1"/>
      <w:numFmt w:val="decimal"/>
      <w:lvlText w:val="%7"/>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BEB7C4">
      <w:start w:val="1"/>
      <w:numFmt w:val="lowerLetter"/>
      <w:lvlText w:val="%8"/>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8C8986">
      <w:start w:val="1"/>
      <w:numFmt w:val="lowerRoman"/>
      <w:lvlText w:val="%9"/>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6FD627B"/>
    <w:multiLevelType w:val="hybridMultilevel"/>
    <w:tmpl w:val="C79082BC"/>
    <w:lvl w:ilvl="0" w:tplc="F18058D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60BC7A">
      <w:start w:val="1"/>
      <w:numFmt w:val="lowerLetter"/>
      <w:lvlText w:val="%2"/>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002780">
      <w:start w:val="3"/>
      <w:numFmt w:val="lowerLetter"/>
      <w:lvlRestart w:val="0"/>
      <w:lvlText w:val="%3."/>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B627D8">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F24DE8">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B01214">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15A0718">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40EDC2">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FC36F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F0352EF"/>
    <w:multiLevelType w:val="hybridMultilevel"/>
    <w:tmpl w:val="A432BD8E"/>
    <w:lvl w:ilvl="0" w:tplc="6C5C65EE">
      <w:start w:val="1"/>
      <w:numFmt w:val="lowerLetter"/>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1E510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36536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5651D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C64A6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88ABB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94596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1234D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88C5D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404450A"/>
    <w:multiLevelType w:val="hybridMultilevel"/>
    <w:tmpl w:val="B78AE1A4"/>
    <w:lvl w:ilvl="0" w:tplc="EA8CBD3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A804CE">
      <w:start w:val="1"/>
      <w:numFmt w:val="lowerLetter"/>
      <w:lvlText w:val="%2"/>
      <w:lvlJc w:val="left"/>
      <w:pPr>
        <w:ind w:left="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E22330">
      <w:start w:val="1"/>
      <w:numFmt w:val="lowerRoman"/>
      <w:lvlText w:val="%3"/>
      <w:lvlJc w:val="left"/>
      <w:pPr>
        <w:ind w:left="15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6442B0">
      <w:start w:val="1"/>
      <w:numFmt w:val="lowerRoman"/>
      <w:lvlRestart w:val="0"/>
      <w:lvlText w:val="%4."/>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A084F6">
      <w:start w:val="1"/>
      <w:numFmt w:val="lowerLetter"/>
      <w:lvlText w:val="%5"/>
      <w:lvlJc w:val="left"/>
      <w:pPr>
        <w:ind w:left="2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524060">
      <w:start w:val="1"/>
      <w:numFmt w:val="lowerRoman"/>
      <w:lvlText w:val="%6"/>
      <w:lvlJc w:val="left"/>
      <w:pPr>
        <w:ind w:left="3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0EA3D2">
      <w:start w:val="1"/>
      <w:numFmt w:val="decimal"/>
      <w:lvlText w:val="%7"/>
      <w:lvlJc w:val="left"/>
      <w:pPr>
        <w:ind w:left="4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2A7BD8">
      <w:start w:val="1"/>
      <w:numFmt w:val="lowerLetter"/>
      <w:lvlText w:val="%8"/>
      <w:lvlJc w:val="left"/>
      <w:pPr>
        <w:ind w:left="5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541922">
      <w:start w:val="1"/>
      <w:numFmt w:val="lowerRoman"/>
      <w:lvlText w:val="%9"/>
      <w:lvlJc w:val="left"/>
      <w:pPr>
        <w:ind w:left="5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3805754"/>
    <w:multiLevelType w:val="multilevel"/>
    <w:tmpl w:val="1556F4A4"/>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7BC27C1"/>
    <w:multiLevelType w:val="hybridMultilevel"/>
    <w:tmpl w:val="B8DC88DE"/>
    <w:lvl w:ilvl="0" w:tplc="4E28CC0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D08AAA">
      <w:start w:val="1"/>
      <w:numFmt w:val="bullet"/>
      <w:lvlText w:val="o"/>
      <w:lvlJc w:val="left"/>
      <w:pPr>
        <w:ind w:left="8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BCFBE8">
      <w:start w:val="1"/>
      <w:numFmt w:val="bullet"/>
      <w:lvlText w:val="▪"/>
      <w:lvlJc w:val="left"/>
      <w:pPr>
        <w:ind w:left="13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725EB6">
      <w:start w:val="1"/>
      <w:numFmt w:val="bullet"/>
      <w:lvlRestart w:val="0"/>
      <w:lvlText w:val="•"/>
      <w:lvlJc w:val="left"/>
      <w:pPr>
        <w:ind w:left="1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0EAA38">
      <w:start w:val="1"/>
      <w:numFmt w:val="bullet"/>
      <w:lvlText w:val="o"/>
      <w:lvlJc w:val="left"/>
      <w:pPr>
        <w:ind w:left="24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782D70">
      <w:start w:val="1"/>
      <w:numFmt w:val="bullet"/>
      <w:lvlText w:val="▪"/>
      <w:lvlJc w:val="left"/>
      <w:pPr>
        <w:ind w:left="32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ECD1AA">
      <w:start w:val="1"/>
      <w:numFmt w:val="bullet"/>
      <w:lvlText w:val="•"/>
      <w:lvlJc w:val="left"/>
      <w:pPr>
        <w:ind w:left="39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6CB188">
      <w:start w:val="1"/>
      <w:numFmt w:val="bullet"/>
      <w:lvlText w:val="o"/>
      <w:lvlJc w:val="left"/>
      <w:pPr>
        <w:ind w:left="46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844A7E">
      <w:start w:val="1"/>
      <w:numFmt w:val="bullet"/>
      <w:lvlText w:val="▪"/>
      <w:lvlJc w:val="left"/>
      <w:pPr>
        <w:ind w:left="5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D207B2B"/>
    <w:multiLevelType w:val="hybridMultilevel"/>
    <w:tmpl w:val="F3D26512"/>
    <w:lvl w:ilvl="0" w:tplc="D85858C6">
      <w:start w:val="1"/>
      <w:numFmt w:val="lowerLetter"/>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D47348">
      <w:start w:val="1"/>
      <w:numFmt w:val="lowerLetter"/>
      <w:lvlText w:val="%2"/>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80441C">
      <w:start w:val="1"/>
      <w:numFmt w:val="lowerRoman"/>
      <w:lvlText w:val="%3"/>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347AFA">
      <w:start w:val="1"/>
      <w:numFmt w:val="decimal"/>
      <w:lvlText w:val="%4"/>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0A62FE">
      <w:start w:val="1"/>
      <w:numFmt w:val="lowerLetter"/>
      <w:lvlText w:val="%5"/>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96AAA4">
      <w:start w:val="1"/>
      <w:numFmt w:val="lowerRoman"/>
      <w:lvlText w:val="%6"/>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2C2A5A">
      <w:start w:val="1"/>
      <w:numFmt w:val="decimal"/>
      <w:lvlText w:val="%7"/>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8E7E4A">
      <w:start w:val="1"/>
      <w:numFmt w:val="lowerLetter"/>
      <w:lvlText w:val="%8"/>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7A6388">
      <w:start w:val="1"/>
      <w:numFmt w:val="lowerRoman"/>
      <w:lvlText w:val="%9"/>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6"/>
  </w:num>
  <w:num w:numId="3">
    <w:abstractNumId w:val="11"/>
  </w:num>
  <w:num w:numId="4">
    <w:abstractNumId w:val="14"/>
  </w:num>
  <w:num w:numId="5">
    <w:abstractNumId w:val="13"/>
  </w:num>
  <w:num w:numId="6">
    <w:abstractNumId w:val="10"/>
  </w:num>
  <w:num w:numId="7">
    <w:abstractNumId w:val="7"/>
  </w:num>
  <w:num w:numId="8">
    <w:abstractNumId w:val="16"/>
  </w:num>
  <w:num w:numId="9">
    <w:abstractNumId w:val="15"/>
  </w:num>
  <w:num w:numId="10">
    <w:abstractNumId w:val="1"/>
  </w:num>
  <w:num w:numId="11">
    <w:abstractNumId w:val="9"/>
  </w:num>
  <w:num w:numId="12">
    <w:abstractNumId w:val="8"/>
  </w:num>
  <w:num w:numId="13">
    <w:abstractNumId w:val="5"/>
  </w:num>
  <w:num w:numId="14">
    <w:abstractNumId w:val="3"/>
  </w:num>
  <w:num w:numId="15">
    <w:abstractNumId w:val="2"/>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D31"/>
    <w:rsid w:val="00061FF3"/>
    <w:rsid w:val="00140C34"/>
    <w:rsid w:val="00762FBC"/>
    <w:rsid w:val="00EE7D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19E6A"/>
  <w15:docId w15:val="{F040891C-B075-40D2-9E65-6F38BE1BE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5" w:line="249" w:lineRule="auto"/>
      <w:ind w:left="12" w:hanging="10"/>
      <w:jc w:val="both"/>
    </w:pPr>
    <w:rPr>
      <w:rFonts w:ascii="Arial" w:eastAsia="Arial" w:hAnsi="Arial" w:cs="Arial"/>
      <w:color w:val="000000"/>
    </w:rPr>
  </w:style>
  <w:style w:type="paragraph" w:styleId="Nadpis1">
    <w:name w:val="heading 1"/>
    <w:next w:val="Normln"/>
    <w:link w:val="Nadpis1Char"/>
    <w:uiPriority w:val="9"/>
    <w:unhideWhenUsed/>
    <w:qFormat/>
    <w:pPr>
      <w:keepNext/>
      <w:keepLines/>
      <w:spacing w:after="100"/>
      <w:ind w:left="10" w:right="30" w:hanging="10"/>
      <w:jc w:val="center"/>
      <w:outlineLvl w:val="0"/>
    </w:pPr>
    <w:rPr>
      <w:rFonts w:ascii="Arial" w:eastAsia="Arial" w:hAnsi="Arial" w:cs="Arial"/>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textovodkaz">
    <w:name w:val="Hyperlink"/>
    <w:basedOn w:val="Standardnpsmoodstavce"/>
    <w:uiPriority w:val="99"/>
    <w:unhideWhenUsed/>
    <w:rsid w:val="00061F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hroch@ssup.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2219</Words>
  <Characters>13093</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Menšl</dc:creator>
  <cp:keywords/>
  <cp:lastModifiedBy>Zdeněk Salinger</cp:lastModifiedBy>
  <cp:revision>2</cp:revision>
  <dcterms:created xsi:type="dcterms:W3CDTF">2021-09-30T05:50:00Z</dcterms:created>
  <dcterms:modified xsi:type="dcterms:W3CDTF">2021-09-30T05:50:00Z</dcterms:modified>
</cp:coreProperties>
</file>