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835B6" w:rsidRPr="00DD15CD" w:rsidRDefault="00123DDC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Senzory k </w:t>
      </w:r>
      <w:proofErr w:type="spellStart"/>
      <w:r>
        <w:rPr>
          <w:rFonts w:ascii="Arial" w:hAnsi="Arial" w:cs="Arial"/>
          <w:b/>
          <w:smallCaps/>
          <w:spacing w:val="40"/>
          <w:sz w:val="28"/>
          <w:szCs w:val="28"/>
        </w:rPr>
        <w:t>multiparametrické</w:t>
      </w:r>
      <w:proofErr w:type="spellEnd"/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 sondě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908"/>
        <w:gridCol w:w="578"/>
        <w:gridCol w:w="4211"/>
      </w:tblGrid>
      <w:tr w:rsidR="00B3237A" w:rsidRPr="006F6BBE" w:rsidTr="00011CA5">
        <w:trPr>
          <w:trHeight w:val="434"/>
        </w:trPr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Ekotechnika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spol. s r.o.</w:t>
            </w:r>
          </w:p>
        </w:tc>
      </w:tr>
      <w:tr w:rsidR="00B3237A" w:rsidRPr="006F6BBE" w:rsidTr="00011CA5">
        <w:trPr>
          <w:trHeight w:val="192"/>
        </w:trPr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 Třešňovce 700,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252  29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Karlík</w:t>
            </w:r>
          </w:p>
        </w:tc>
      </w:tr>
      <w:tr w:rsidR="00B3237A" w:rsidRPr="006F6BBE" w:rsidTr="00011CA5"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B3237A" w:rsidRPr="006F6BBE" w:rsidTr="00011CA5"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81" w:type="dxa"/>
            <w:vAlign w:val="center"/>
          </w:tcPr>
          <w:p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237A" w:rsidRPr="006F6BBE" w:rsidTr="00011CA5"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3237A" w:rsidRPr="00420C0B" w:rsidRDefault="00B3237A" w:rsidP="007D56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7D569D">
              <w:rPr>
                <w:rFonts w:ascii="Arial" w:hAnsi="Arial" w:cs="Arial"/>
                <w:sz w:val="21"/>
                <w:szCs w:val="21"/>
              </w:rPr>
              <w:t>Arnoštem Mrázem, CSc., MBA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7D569D">
              <w:rPr>
                <w:rFonts w:ascii="Arial" w:hAnsi="Arial" w:cs="Arial"/>
                <w:sz w:val="21"/>
                <w:szCs w:val="21"/>
              </w:rPr>
              <w:t>jednatelem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886DE1" w:rsidRDefault="00886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71240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71240D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71240D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805F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1D0464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:rsidR="00DA7E4F" w:rsidRDefault="00382D22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0464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1D0464">
        <w:rPr>
          <w:rFonts w:cs="Arial"/>
          <w:sz w:val="21"/>
          <w:szCs w:val="21"/>
        </w:rPr>
        <w:t xml:space="preserve"> věci </w:t>
      </w:r>
      <w:r w:rsidR="001D0464" w:rsidRPr="001D0464">
        <w:rPr>
          <w:rFonts w:cs="Arial"/>
          <w:sz w:val="21"/>
          <w:szCs w:val="21"/>
        </w:rPr>
        <w:t>vztahují.</w:t>
      </w:r>
    </w:p>
    <w:p w:rsidR="00A32A45" w:rsidRPr="006F6BBE" w:rsidRDefault="00A32A45" w:rsidP="00DE5A99">
      <w:pPr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F252E5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Předmětem </w:t>
      </w:r>
      <w:r w:rsidRPr="00614CC8">
        <w:rPr>
          <w:rFonts w:cs="Arial"/>
          <w:sz w:val="21"/>
          <w:szCs w:val="21"/>
        </w:rPr>
        <w:t>koupě je</w:t>
      </w:r>
      <w:r w:rsidR="00123DDC">
        <w:rPr>
          <w:rFonts w:cs="Arial"/>
          <w:sz w:val="21"/>
          <w:szCs w:val="21"/>
        </w:rPr>
        <w:t xml:space="preserve"> několik následujících senzorů, které jsou určeny pro </w:t>
      </w:r>
      <w:proofErr w:type="spellStart"/>
      <w:r w:rsidR="00123DDC">
        <w:rPr>
          <w:rFonts w:cs="Arial"/>
          <w:sz w:val="21"/>
          <w:szCs w:val="21"/>
        </w:rPr>
        <w:t>multiparametrickou</w:t>
      </w:r>
      <w:proofErr w:type="spellEnd"/>
      <w:r w:rsidR="00123DDC">
        <w:rPr>
          <w:rFonts w:cs="Arial"/>
          <w:sz w:val="21"/>
          <w:szCs w:val="21"/>
        </w:rPr>
        <w:t xml:space="preserve"> sondu, kterou již kupující vlastní</w:t>
      </w:r>
      <w:r w:rsidR="0072403A">
        <w:rPr>
          <w:rFonts w:cs="Arial"/>
          <w:sz w:val="21"/>
          <w:szCs w:val="21"/>
        </w:rPr>
        <w:t>:</w:t>
      </w:r>
    </w:p>
    <w:p w:rsidR="00123DDC" w:rsidRDefault="00123DDC" w:rsidP="00123DD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proofErr w:type="spellStart"/>
      <w:r w:rsidRPr="00123DDC">
        <w:rPr>
          <w:rFonts w:cs="Arial"/>
          <w:sz w:val="21"/>
          <w:szCs w:val="21"/>
        </w:rPr>
        <w:t>AquaTROLL</w:t>
      </w:r>
      <w:proofErr w:type="spellEnd"/>
      <w:r w:rsidRPr="00123DDC">
        <w:rPr>
          <w:rFonts w:cs="Arial"/>
          <w:sz w:val="21"/>
          <w:szCs w:val="21"/>
        </w:rPr>
        <w:t xml:space="preserve"> </w:t>
      </w:r>
      <w:proofErr w:type="spellStart"/>
      <w:r w:rsidRPr="00123DDC">
        <w:rPr>
          <w:rFonts w:cs="Arial"/>
          <w:sz w:val="21"/>
          <w:szCs w:val="21"/>
        </w:rPr>
        <w:t>Nitrate</w:t>
      </w:r>
      <w:proofErr w:type="spellEnd"/>
      <w:r w:rsidRPr="00123DDC">
        <w:rPr>
          <w:rFonts w:cs="Arial"/>
          <w:sz w:val="21"/>
          <w:szCs w:val="21"/>
        </w:rPr>
        <w:t xml:space="preserve"> Sensor</w:t>
      </w:r>
      <w:r>
        <w:rPr>
          <w:rFonts w:cs="Arial"/>
          <w:sz w:val="21"/>
          <w:szCs w:val="21"/>
        </w:rPr>
        <w:t xml:space="preserve"> (1 ks)</w:t>
      </w:r>
    </w:p>
    <w:p w:rsidR="00123DDC" w:rsidRDefault="00123DDC" w:rsidP="00123DD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proofErr w:type="spellStart"/>
      <w:r w:rsidRPr="00123DDC">
        <w:rPr>
          <w:rFonts w:cs="Arial"/>
          <w:sz w:val="21"/>
          <w:szCs w:val="21"/>
        </w:rPr>
        <w:t>AquaTROLL</w:t>
      </w:r>
      <w:proofErr w:type="spellEnd"/>
      <w:r w:rsidRPr="00123DDC">
        <w:rPr>
          <w:rFonts w:cs="Arial"/>
          <w:sz w:val="21"/>
          <w:szCs w:val="21"/>
        </w:rPr>
        <w:t xml:space="preserve"> pH/ORP Sensor</w:t>
      </w:r>
      <w:r>
        <w:rPr>
          <w:rFonts w:cs="Arial"/>
          <w:sz w:val="21"/>
          <w:szCs w:val="21"/>
        </w:rPr>
        <w:t xml:space="preserve"> (1 ks)</w:t>
      </w:r>
    </w:p>
    <w:p w:rsidR="00123DDC" w:rsidRDefault="00123DDC" w:rsidP="00123DD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proofErr w:type="spellStart"/>
      <w:r w:rsidRPr="00123DDC">
        <w:rPr>
          <w:rFonts w:cs="Arial"/>
          <w:sz w:val="21"/>
          <w:szCs w:val="21"/>
        </w:rPr>
        <w:t>AquaTROLL</w:t>
      </w:r>
      <w:proofErr w:type="spellEnd"/>
      <w:r w:rsidRPr="00123DDC">
        <w:rPr>
          <w:rFonts w:cs="Arial"/>
          <w:sz w:val="21"/>
          <w:szCs w:val="21"/>
        </w:rPr>
        <w:t xml:space="preserve"> </w:t>
      </w:r>
      <w:proofErr w:type="spellStart"/>
      <w:r w:rsidRPr="00123DDC">
        <w:rPr>
          <w:rFonts w:cs="Arial"/>
          <w:sz w:val="21"/>
          <w:szCs w:val="21"/>
        </w:rPr>
        <w:t>Ammonium</w:t>
      </w:r>
      <w:proofErr w:type="spellEnd"/>
      <w:r w:rsidRPr="00123DDC">
        <w:rPr>
          <w:rFonts w:cs="Arial"/>
          <w:sz w:val="21"/>
          <w:szCs w:val="21"/>
        </w:rPr>
        <w:t xml:space="preserve"> Sensor</w:t>
      </w:r>
      <w:r>
        <w:rPr>
          <w:rFonts w:cs="Arial"/>
          <w:sz w:val="21"/>
          <w:szCs w:val="21"/>
        </w:rPr>
        <w:t xml:space="preserve"> (1 ks)</w:t>
      </w:r>
    </w:p>
    <w:p w:rsidR="00123DDC" w:rsidRDefault="00123DDC" w:rsidP="00123DD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proofErr w:type="spellStart"/>
      <w:r w:rsidRPr="00123DDC">
        <w:rPr>
          <w:rFonts w:cs="Arial"/>
          <w:sz w:val="21"/>
          <w:szCs w:val="21"/>
        </w:rPr>
        <w:t>Aquatroll</w:t>
      </w:r>
      <w:proofErr w:type="spellEnd"/>
      <w:r w:rsidRPr="00123DDC">
        <w:rPr>
          <w:rFonts w:cs="Arial"/>
          <w:sz w:val="21"/>
          <w:szCs w:val="21"/>
        </w:rPr>
        <w:t xml:space="preserve"> </w:t>
      </w:r>
      <w:proofErr w:type="spellStart"/>
      <w:r w:rsidRPr="00123DDC">
        <w:rPr>
          <w:rFonts w:cs="Arial"/>
          <w:sz w:val="21"/>
          <w:szCs w:val="21"/>
        </w:rPr>
        <w:t>Chlorophyll</w:t>
      </w:r>
      <w:proofErr w:type="spellEnd"/>
      <w:r w:rsidRPr="00123DDC">
        <w:rPr>
          <w:rFonts w:cs="Arial"/>
          <w:sz w:val="21"/>
          <w:szCs w:val="21"/>
        </w:rPr>
        <w:t xml:space="preserve"> Sensor</w:t>
      </w:r>
      <w:r>
        <w:rPr>
          <w:rFonts w:cs="Arial"/>
          <w:sz w:val="21"/>
          <w:szCs w:val="21"/>
        </w:rPr>
        <w:t xml:space="preserve"> (1 ks)</w:t>
      </w:r>
    </w:p>
    <w:p w:rsidR="00123DDC" w:rsidRDefault="00123DDC" w:rsidP="00123DD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proofErr w:type="spellStart"/>
      <w:r w:rsidRPr="00123DDC">
        <w:rPr>
          <w:rFonts w:cs="Arial"/>
          <w:sz w:val="21"/>
          <w:szCs w:val="21"/>
        </w:rPr>
        <w:t>AquaTROLL</w:t>
      </w:r>
      <w:proofErr w:type="spellEnd"/>
      <w:r w:rsidRPr="00123DDC">
        <w:rPr>
          <w:rFonts w:cs="Arial"/>
          <w:sz w:val="21"/>
          <w:szCs w:val="21"/>
        </w:rPr>
        <w:t xml:space="preserve"> Chloride Sensor</w:t>
      </w:r>
      <w:r>
        <w:rPr>
          <w:rFonts w:cs="Arial"/>
          <w:sz w:val="21"/>
          <w:szCs w:val="21"/>
        </w:rPr>
        <w:t xml:space="preserve"> (1 ks)</w:t>
      </w:r>
    </w:p>
    <w:p w:rsidR="00123DDC" w:rsidRDefault="00123DDC" w:rsidP="00123DD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proofErr w:type="spellStart"/>
      <w:r w:rsidRPr="00123DDC">
        <w:rPr>
          <w:rFonts w:cs="Arial"/>
          <w:sz w:val="21"/>
          <w:szCs w:val="21"/>
        </w:rPr>
        <w:lastRenderedPageBreak/>
        <w:t>AquaTROLL</w:t>
      </w:r>
      <w:proofErr w:type="spellEnd"/>
      <w:r w:rsidRPr="00123DDC">
        <w:rPr>
          <w:rFonts w:cs="Arial"/>
          <w:sz w:val="21"/>
          <w:szCs w:val="21"/>
        </w:rPr>
        <w:t xml:space="preserve"> Sensor Port </w:t>
      </w:r>
      <w:proofErr w:type="spellStart"/>
      <w:r w:rsidRPr="00123DDC">
        <w:rPr>
          <w:rFonts w:cs="Arial"/>
          <w:sz w:val="21"/>
          <w:szCs w:val="21"/>
        </w:rPr>
        <w:t>Plug</w:t>
      </w:r>
      <w:proofErr w:type="spellEnd"/>
      <w:r>
        <w:rPr>
          <w:rFonts w:cs="Arial"/>
          <w:sz w:val="21"/>
          <w:szCs w:val="21"/>
        </w:rPr>
        <w:t xml:space="preserve"> (2 ks)</w:t>
      </w:r>
    </w:p>
    <w:p w:rsidR="00DE5A99" w:rsidRPr="006B137B" w:rsidRDefault="00DE5A99" w:rsidP="00123DD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</w:t>
      </w:r>
      <w:r w:rsidRPr="006B137B">
        <w:rPr>
          <w:rFonts w:cs="Arial"/>
          <w:sz w:val="21"/>
          <w:szCs w:val="21"/>
        </w:rPr>
        <w:t xml:space="preserve">bude </w:t>
      </w:r>
      <w:r w:rsidR="002F5DC3" w:rsidRPr="006B137B">
        <w:rPr>
          <w:rFonts w:cs="Arial"/>
          <w:sz w:val="21"/>
          <w:szCs w:val="21"/>
        </w:rPr>
        <w:t>odevzdán v souladu s následujícími po</w:t>
      </w:r>
      <w:r w:rsidR="005579B0" w:rsidRPr="006B137B">
        <w:rPr>
          <w:rFonts w:cs="Arial"/>
          <w:sz w:val="21"/>
          <w:szCs w:val="21"/>
        </w:rPr>
        <w:t>d</w:t>
      </w:r>
      <w:r w:rsidR="002F5DC3" w:rsidRPr="006B137B">
        <w:rPr>
          <w:rFonts w:cs="Arial"/>
          <w:sz w:val="21"/>
          <w:szCs w:val="21"/>
        </w:rPr>
        <w:t xml:space="preserve">klady </w:t>
      </w:r>
      <w:r w:rsidRPr="006B137B">
        <w:rPr>
          <w:rFonts w:cs="Arial"/>
          <w:sz w:val="21"/>
          <w:szCs w:val="21"/>
        </w:rPr>
        <w:t>(řazena dle závaznosti):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</w:p>
    <w:p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prohlášení o </w:t>
      </w:r>
      <w:r w:rsidRPr="006B137B">
        <w:rPr>
          <w:rFonts w:cs="Arial"/>
          <w:sz w:val="21"/>
          <w:szCs w:val="21"/>
        </w:rPr>
        <w:t>shodě použitých materiálů a výrobků.</w:t>
      </w:r>
    </w:p>
    <w:p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6B137B" w:rsidRDefault="002F5DC3" w:rsidP="006B137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údržbě předmětu koupě.</w:t>
      </w:r>
    </w:p>
    <w:p w:rsidR="002F5DC3" w:rsidRPr="0057511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Doklady budou </w:t>
      </w:r>
      <w:r w:rsidRPr="00575113">
        <w:rPr>
          <w:rFonts w:cs="Arial"/>
          <w:sz w:val="21"/>
          <w:szCs w:val="21"/>
        </w:rPr>
        <w:t>vyhotoveny v českém nebo anglickém</w:t>
      </w:r>
      <w:r w:rsidR="00792B2A" w:rsidRPr="00575113">
        <w:rPr>
          <w:rFonts w:cs="Arial"/>
          <w:sz w:val="21"/>
          <w:szCs w:val="21"/>
        </w:rPr>
        <w:t xml:space="preserve"> jazyce</w:t>
      </w:r>
      <w:r w:rsidRPr="00575113">
        <w:rPr>
          <w:rFonts w:cs="Arial"/>
          <w:sz w:val="21"/>
          <w:szCs w:val="21"/>
        </w:rPr>
        <w:t>.</w:t>
      </w:r>
    </w:p>
    <w:p w:rsidR="0090102A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Prodávající se zavazuje provádět ser</w:t>
      </w:r>
      <w:r w:rsidR="00575113" w:rsidRPr="00575113">
        <w:rPr>
          <w:rFonts w:cs="Arial"/>
          <w:sz w:val="21"/>
          <w:szCs w:val="21"/>
        </w:rPr>
        <w:t xml:space="preserve">vis předmětu koupě po dobu </w:t>
      </w:r>
      <w:r w:rsidR="000B146D" w:rsidRPr="00575113">
        <w:rPr>
          <w:rFonts w:cs="Arial"/>
          <w:sz w:val="21"/>
          <w:szCs w:val="21"/>
        </w:rPr>
        <w:t>trvání záruční doby</w:t>
      </w:r>
      <w:r w:rsidRPr="00575113">
        <w:rPr>
          <w:rFonts w:cs="Arial"/>
          <w:sz w:val="21"/>
          <w:szCs w:val="21"/>
        </w:rPr>
        <w:t>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</w:t>
      </w:r>
      <w:r w:rsidRPr="00E57AA1">
        <w:rPr>
          <w:rFonts w:cs="Arial"/>
          <w:b/>
          <w:sz w:val="21"/>
          <w:szCs w:val="21"/>
        </w:rPr>
        <w:t>do</w:t>
      </w:r>
      <w:r w:rsidRPr="0072403A">
        <w:rPr>
          <w:rFonts w:cs="Arial"/>
          <w:b/>
          <w:sz w:val="21"/>
          <w:szCs w:val="21"/>
        </w:rPr>
        <w:t xml:space="preserve"> </w:t>
      </w:r>
      <w:r w:rsidR="0072403A" w:rsidRPr="0072403A">
        <w:rPr>
          <w:rFonts w:cs="Arial"/>
          <w:b/>
          <w:sz w:val="21"/>
          <w:szCs w:val="21"/>
        </w:rPr>
        <w:t>15. 12. 2021</w:t>
      </w:r>
      <w:r w:rsidR="0071240D">
        <w:rPr>
          <w:rFonts w:cs="Arial"/>
          <w:b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2A1077">
        <w:rPr>
          <w:rFonts w:cs="Arial"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6F6BBE">
        <w:rPr>
          <w:rFonts w:cs="Arial"/>
          <w:sz w:val="21"/>
          <w:szCs w:val="21"/>
        </w:rPr>
        <w:t>na pracovišt</w:t>
      </w:r>
      <w:r w:rsidRPr="00575113">
        <w:rPr>
          <w:rFonts w:cs="Arial"/>
          <w:sz w:val="21"/>
          <w:szCs w:val="21"/>
        </w:rPr>
        <w:t xml:space="preserve">ě kupujícího, na adresu </w:t>
      </w:r>
      <w:r w:rsidRPr="00575113">
        <w:rPr>
          <w:rFonts w:cs="Arial"/>
          <w:b/>
          <w:sz w:val="21"/>
          <w:szCs w:val="21"/>
        </w:rPr>
        <w:t>Bělidla 986/4a,</w:t>
      </w:r>
      <w:r w:rsidR="00805FF5" w:rsidRPr="00575113">
        <w:rPr>
          <w:rFonts w:cs="Arial"/>
          <w:b/>
          <w:sz w:val="21"/>
          <w:szCs w:val="21"/>
        </w:rPr>
        <w:t xml:space="preserve"> </w:t>
      </w:r>
      <w:proofErr w:type="gramStart"/>
      <w:r w:rsidR="00805FF5" w:rsidRPr="00575113">
        <w:rPr>
          <w:rFonts w:cs="Arial"/>
          <w:b/>
          <w:sz w:val="21"/>
          <w:szCs w:val="21"/>
        </w:rPr>
        <w:t>603  00</w:t>
      </w:r>
      <w:proofErr w:type="gramEnd"/>
      <w:r w:rsidRPr="00575113">
        <w:rPr>
          <w:rFonts w:cs="Arial"/>
          <w:b/>
          <w:sz w:val="21"/>
          <w:szCs w:val="21"/>
        </w:rPr>
        <w:t xml:space="preserve"> Brno,</w:t>
      </w:r>
      <w:r w:rsidRPr="00575113">
        <w:rPr>
          <w:rFonts w:cs="Arial"/>
          <w:sz w:val="21"/>
          <w:szCs w:val="21"/>
        </w:rPr>
        <w:t xml:space="preserve"> nedohodnou-li se smluvní strany jinak.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N</w:t>
      </w:r>
      <w:r w:rsidR="00ED5992" w:rsidRPr="00575113">
        <w:rPr>
          <w:rFonts w:cs="Arial"/>
          <w:sz w:val="21"/>
          <w:szCs w:val="21"/>
        </w:rPr>
        <w:t>ejpozději do 5 pracovních dnů ode dne odevzdání předmětu koupě</w:t>
      </w:r>
      <w:r w:rsidR="0010510A" w:rsidRPr="00575113">
        <w:rPr>
          <w:rFonts w:cs="Arial"/>
          <w:sz w:val="21"/>
          <w:szCs w:val="21"/>
        </w:rPr>
        <w:t xml:space="preserve"> </w:t>
      </w:r>
      <w:r w:rsidRPr="00575113">
        <w:rPr>
          <w:rFonts w:cs="Arial"/>
          <w:sz w:val="21"/>
          <w:szCs w:val="21"/>
        </w:rPr>
        <w:t xml:space="preserve">jej kupující prohlédne </w:t>
      </w:r>
      <w:r w:rsidR="0010510A" w:rsidRPr="00575113">
        <w:rPr>
          <w:rFonts w:cs="Arial"/>
          <w:sz w:val="21"/>
          <w:szCs w:val="21"/>
        </w:rPr>
        <w:t>a přesvědčí se o jeho</w:t>
      </w:r>
      <w:r w:rsidR="00ED5992" w:rsidRPr="00575113">
        <w:rPr>
          <w:rFonts w:cs="Arial"/>
          <w:sz w:val="21"/>
          <w:szCs w:val="21"/>
        </w:rPr>
        <w:t xml:space="preserve"> </w:t>
      </w:r>
      <w:r w:rsidR="00E17104" w:rsidRPr="00575113">
        <w:rPr>
          <w:rFonts w:cs="Arial"/>
          <w:sz w:val="21"/>
          <w:szCs w:val="21"/>
        </w:rPr>
        <w:t xml:space="preserve">zjevných </w:t>
      </w:r>
      <w:r w:rsidR="00ED5992" w:rsidRPr="00575113">
        <w:rPr>
          <w:rFonts w:cs="Arial"/>
          <w:sz w:val="21"/>
          <w:szCs w:val="21"/>
        </w:rPr>
        <w:t>vlastnostech a množství. Kupující v téže lhůtě</w:t>
      </w:r>
      <w:r w:rsidR="00E17104" w:rsidRPr="00575113">
        <w:rPr>
          <w:rFonts w:cs="Arial"/>
          <w:sz w:val="21"/>
          <w:szCs w:val="21"/>
        </w:rPr>
        <w:t xml:space="preserve"> buď</w:t>
      </w:r>
      <w:r w:rsidR="00ED5992" w:rsidRPr="00575113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F9199E" w:rsidRPr="00E57AA1" w:rsidRDefault="00B5522F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18799D" w:rsidRPr="006F6BBE" w:rsidRDefault="0018799D" w:rsidP="00DE5A99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B3237A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B3237A" w:rsidRPr="006F6BBE" w:rsidTr="00011CA5">
        <w:tc>
          <w:tcPr>
            <w:tcW w:w="4106" w:type="dxa"/>
          </w:tcPr>
          <w:p w:rsidR="00B3237A" w:rsidRPr="0072403A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:rsidR="00B3237A" w:rsidRPr="0072403A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:rsidR="00B3237A" w:rsidRPr="0072403A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 xml:space="preserve">Cena za kus bez DPH </w:t>
            </w:r>
          </w:p>
        </w:tc>
        <w:tc>
          <w:tcPr>
            <w:tcW w:w="2043" w:type="dxa"/>
            <w:gridSpan w:val="2"/>
          </w:tcPr>
          <w:p w:rsidR="00B3237A" w:rsidRPr="0072403A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03A">
              <w:rPr>
                <w:rFonts w:ascii="Arial" w:hAnsi="Arial" w:cs="Arial"/>
                <w:sz w:val="21"/>
                <w:szCs w:val="21"/>
              </w:rPr>
              <w:t>Cena celkem bez DPH</w:t>
            </w:r>
          </w:p>
        </w:tc>
      </w:tr>
      <w:tr w:rsidR="00B3237A" w:rsidRPr="00083913" w:rsidTr="00011CA5">
        <w:trPr>
          <w:trHeight w:val="255"/>
        </w:trPr>
        <w:tc>
          <w:tcPr>
            <w:tcW w:w="4106" w:type="dxa"/>
            <w:noWrap/>
          </w:tcPr>
          <w:p w:rsidR="00B3237A" w:rsidRPr="00123DDC" w:rsidRDefault="00123DDC" w:rsidP="003D5369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23DDC">
              <w:rPr>
                <w:rFonts w:ascii="Arial" w:hAnsi="Arial" w:cs="Arial"/>
                <w:sz w:val="21"/>
                <w:szCs w:val="21"/>
              </w:rPr>
              <w:t>AquaTROLL</w:t>
            </w:r>
            <w:proofErr w:type="spellEnd"/>
            <w:r w:rsidRPr="00123DD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23DDC">
              <w:rPr>
                <w:rFonts w:ascii="Arial" w:hAnsi="Arial" w:cs="Arial"/>
                <w:sz w:val="21"/>
                <w:szCs w:val="21"/>
              </w:rPr>
              <w:t>Nitrate</w:t>
            </w:r>
            <w:proofErr w:type="spellEnd"/>
            <w:r w:rsidRPr="00123DDC">
              <w:rPr>
                <w:rFonts w:ascii="Arial" w:hAnsi="Arial" w:cs="Arial"/>
                <w:sz w:val="21"/>
                <w:szCs w:val="21"/>
              </w:rPr>
              <w:t xml:space="preserve"> Sensor</w:t>
            </w:r>
          </w:p>
        </w:tc>
        <w:tc>
          <w:tcPr>
            <w:tcW w:w="1134" w:type="dxa"/>
            <w:noWrap/>
          </w:tcPr>
          <w:p w:rsidR="00B3237A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1</w:t>
            </w:r>
            <w:r w:rsidR="00B3237A" w:rsidRPr="00123DDC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:rsidR="00B3237A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17.809</w:t>
            </w:r>
            <w:r w:rsidR="00B3237A" w:rsidRPr="00123DD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:rsidR="00B3237A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17.809</w:t>
            </w:r>
            <w:r w:rsidR="00B3237A" w:rsidRPr="00123DD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72403A" w:rsidRPr="00083913" w:rsidTr="00011CA5">
        <w:trPr>
          <w:trHeight w:val="255"/>
        </w:trPr>
        <w:tc>
          <w:tcPr>
            <w:tcW w:w="4106" w:type="dxa"/>
            <w:noWrap/>
          </w:tcPr>
          <w:p w:rsidR="0072403A" w:rsidRPr="00123DDC" w:rsidRDefault="00123DDC" w:rsidP="0072403A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23DDC">
              <w:rPr>
                <w:rFonts w:ascii="Arial" w:hAnsi="Arial" w:cs="Arial"/>
                <w:sz w:val="21"/>
                <w:szCs w:val="21"/>
              </w:rPr>
              <w:t>AquaTROLL</w:t>
            </w:r>
            <w:proofErr w:type="spellEnd"/>
            <w:r w:rsidRPr="00123DDC">
              <w:rPr>
                <w:rFonts w:ascii="Arial" w:hAnsi="Arial" w:cs="Arial"/>
                <w:sz w:val="21"/>
                <w:szCs w:val="21"/>
              </w:rPr>
              <w:t xml:space="preserve"> pH/ORP Sensor</w:t>
            </w:r>
          </w:p>
        </w:tc>
        <w:tc>
          <w:tcPr>
            <w:tcW w:w="1134" w:type="dxa"/>
            <w:noWrap/>
          </w:tcPr>
          <w:p w:rsidR="0072403A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1</w:t>
            </w:r>
            <w:r w:rsidR="0072403A" w:rsidRPr="00123DDC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:rsidR="0072403A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21.672</w:t>
            </w:r>
            <w:r w:rsidR="0072403A" w:rsidRPr="00123DD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:rsidR="0072403A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21.672</w:t>
            </w:r>
            <w:r w:rsidR="0072403A" w:rsidRPr="00123DD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72403A" w:rsidRPr="00083913" w:rsidTr="00011CA5">
        <w:trPr>
          <w:trHeight w:val="255"/>
        </w:trPr>
        <w:tc>
          <w:tcPr>
            <w:tcW w:w="4106" w:type="dxa"/>
            <w:noWrap/>
          </w:tcPr>
          <w:p w:rsidR="0072403A" w:rsidRPr="00123DDC" w:rsidRDefault="00123DDC" w:rsidP="003D5369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23DDC">
              <w:rPr>
                <w:rFonts w:ascii="Arial" w:hAnsi="Arial" w:cs="Arial"/>
                <w:sz w:val="21"/>
                <w:szCs w:val="21"/>
              </w:rPr>
              <w:t>AquaTROLL</w:t>
            </w:r>
            <w:proofErr w:type="spellEnd"/>
            <w:r w:rsidRPr="00123DD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23DDC">
              <w:rPr>
                <w:rFonts w:ascii="Arial" w:hAnsi="Arial" w:cs="Arial"/>
                <w:sz w:val="21"/>
                <w:szCs w:val="21"/>
              </w:rPr>
              <w:t>Ammonium</w:t>
            </w:r>
            <w:proofErr w:type="spellEnd"/>
            <w:r w:rsidRPr="00123DDC">
              <w:rPr>
                <w:rFonts w:ascii="Arial" w:hAnsi="Arial" w:cs="Arial"/>
                <w:sz w:val="21"/>
                <w:szCs w:val="21"/>
              </w:rPr>
              <w:t xml:space="preserve"> Sensor</w:t>
            </w:r>
          </w:p>
        </w:tc>
        <w:tc>
          <w:tcPr>
            <w:tcW w:w="1134" w:type="dxa"/>
            <w:noWrap/>
          </w:tcPr>
          <w:p w:rsidR="0072403A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1</w:t>
            </w:r>
            <w:r w:rsidR="0072403A" w:rsidRPr="00123DDC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:rsidR="0072403A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13.809</w:t>
            </w:r>
            <w:r w:rsidR="0072403A" w:rsidRPr="00123DD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:rsidR="0072403A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13.809</w:t>
            </w:r>
            <w:r w:rsidR="0072403A" w:rsidRPr="00123DD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72403A" w:rsidRPr="00083913" w:rsidTr="00011CA5">
        <w:trPr>
          <w:trHeight w:val="255"/>
        </w:trPr>
        <w:tc>
          <w:tcPr>
            <w:tcW w:w="4106" w:type="dxa"/>
            <w:noWrap/>
          </w:tcPr>
          <w:p w:rsidR="0072403A" w:rsidRPr="00123DDC" w:rsidRDefault="00123DDC" w:rsidP="003D5369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23DDC">
              <w:rPr>
                <w:rFonts w:ascii="Arial" w:hAnsi="Arial" w:cs="Arial"/>
                <w:sz w:val="21"/>
                <w:szCs w:val="21"/>
              </w:rPr>
              <w:t>Aquatroll</w:t>
            </w:r>
            <w:proofErr w:type="spellEnd"/>
            <w:r w:rsidRPr="00123DD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23DDC">
              <w:rPr>
                <w:rFonts w:ascii="Arial" w:hAnsi="Arial" w:cs="Arial"/>
                <w:sz w:val="21"/>
                <w:szCs w:val="21"/>
              </w:rPr>
              <w:t>Chlorophyll</w:t>
            </w:r>
            <w:proofErr w:type="spellEnd"/>
            <w:r w:rsidRPr="00123DDC">
              <w:rPr>
                <w:rFonts w:ascii="Arial" w:hAnsi="Arial" w:cs="Arial"/>
                <w:sz w:val="21"/>
                <w:szCs w:val="21"/>
              </w:rPr>
              <w:t xml:space="preserve"> Sensor</w:t>
            </w:r>
          </w:p>
        </w:tc>
        <w:tc>
          <w:tcPr>
            <w:tcW w:w="1134" w:type="dxa"/>
            <w:noWrap/>
          </w:tcPr>
          <w:p w:rsidR="0072403A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1</w:t>
            </w:r>
            <w:r w:rsidR="0072403A" w:rsidRPr="00123DDC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:rsidR="0072403A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45.309</w:t>
            </w:r>
            <w:r w:rsidR="0072403A" w:rsidRPr="00123DD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:rsidR="0072403A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45.309</w:t>
            </w:r>
            <w:r w:rsidR="0072403A" w:rsidRPr="00123DD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123DDC" w:rsidRPr="00083913" w:rsidTr="00011CA5">
        <w:trPr>
          <w:trHeight w:val="255"/>
        </w:trPr>
        <w:tc>
          <w:tcPr>
            <w:tcW w:w="4106" w:type="dxa"/>
            <w:noWrap/>
          </w:tcPr>
          <w:p w:rsidR="00123DDC" w:rsidRPr="00123DDC" w:rsidRDefault="00123DDC" w:rsidP="003D5369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23DDC">
              <w:rPr>
                <w:rFonts w:ascii="Arial" w:hAnsi="Arial" w:cs="Arial"/>
                <w:sz w:val="21"/>
                <w:szCs w:val="21"/>
              </w:rPr>
              <w:t>AquaTROLL</w:t>
            </w:r>
            <w:proofErr w:type="spellEnd"/>
            <w:r w:rsidRPr="00123DDC">
              <w:rPr>
                <w:rFonts w:ascii="Arial" w:hAnsi="Arial" w:cs="Arial"/>
                <w:sz w:val="21"/>
                <w:szCs w:val="21"/>
              </w:rPr>
              <w:t xml:space="preserve"> Chloride Sensor</w:t>
            </w:r>
          </w:p>
        </w:tc>
        <w:tc>
          <w:tcPr>
            <w:tcW w:w="1134" w:type="dxa"/>
            <w:noWrap/>
          </w:tcPr>
          <w:p w:rsidR="00123DDC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:rsidR="00123DDC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14.991,-</w:t>
            </w:r>
          </w:p>
        </w:tc>
        <w:tc>
          <w:tcPr>
            <w:tcW w:w="2043" w:type="dxa"/>
            <w:gridSpan w:val="2"/>
            <w:noWrap/>
          </w:tcPr>
          <w:p w:rsidR="00123DDC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14.991,-</w:t>
            </w:r>
          </w:p>
        </w:tc>
      </w:tr>
      <w:tr w:rsidR="00123DDC" w:rsidRPr="00083913" w:rsidTr="00011CA5">
        <w:trPr>
          <w:trHeight w:val="255"/>
        </w:trPr>
        <w:tc>
          <w:tcPr>
            <w:tcW w:w="4106" w:type="dxa"/>
            <w:noWrap/>
          </w:tcPr>
          <w:p w:rsidR="00123DDC" w:rsidRPr="00123DDC" w:rsidRDefault="00123DDC" w:rsidP="00123DDC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23DDC">
              <w:rPr>
                <w:rFonts w:ascii="Arial" w:hAnsi="Arial" w:cs="Arial"/>
                <w:sz w:val="21"/>
                <w:szCs w:val="21"/>
              </w:rPr>
              <w:t>AquaTROLL</w:t>
            </w:r>
            <w:proofErr w:type="spellEnd"/>
            <w:r w:rsidRPr="00123DDC">
              <w:rPr>
                <w:rFonts w:ascii="Arial" w:hAnsi="Arial" w:cs="Arial"/>
                <w:sz w:val="21"/>
                <w:szCs w:val="21"/>
              </w:rPr>
              <w:t xml:space="preserve"> Sensor Port </w:t>
            </w:r>
            <w:proofErr w:type="spellStart"/>
            <w:r w:rsidRPr="00123DDC">
              <w:rPr>
                <w:rFonts w:ascii="Arial" w:hAnsi="Arial" w:cs="Arial"/>
                <w:sz w:val="21"/>
                <w:szCs w:val="21"/>
              </w:rPr>
              <w:t>Plug</w:t>
            </w:r>
            <w:proofErr w:type="spellEnd"/>
          </w:p>
        </w:tc>
        <w:tc>
          <w:tcPr>
            <w:tcW w:w="1134" w:type="dxa"/>
            <w:noWrap/>
          </w:tcPr>
          <w:p w:rsidR="00123DDC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2 ks</w:t>
            </w:r>
          </w:p>
        </w:tc>
        <w:tc>
          <w:tcPr>
            <w:tcW w:w="1933" w:type="dxa"/>
            <w:noWrap/>
          </w:tcPr>
          <w:p w:rsidR="00123DDC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890,-</w:t>
            </w:r>
          </w:p>
        </w:tc>
        <w:tc>
          <w:tcPr>
            <w:tcW w:w="2043" w:type="dxa"/>
            <w:gridSpan w:val="2"/>
            <w:noWrap/>
          </w:tcPr>
          <w:p w:rsidR="00123DDC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1.780,-</w:t>
            </w:r>
          </w:p>
        </w:tc>
      </w:tr>
      <w:tr w:rsidR="00123DDC" w:rsidRPr="00083913" w:rsidTr="00011CA5">
        <w:trPr>
          <w:trHeight w:val="255"/>
        </w:trPr>
        <w:tc>
          <w:tcPr>
            <w:tcW w:w="4106" w:type="dxa"/>
            <w:noWrap/>
          </w:tcPr>
          <w:p w:rsidR="00123DDC" w:rsidRPr="00123DDC" w:rsidRDefault="00123DDC" w:rsidP="003D5369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lastRenderedPageBreak/>
              <w:t>Doprava</w:t>
            </w:r>
          </w:p>
        </w:tc>
        <w:tc>
          <w:tcPr>
            <w:tcW w:w="1134" w:type="dxa"/>
            <w:noWrap/>
          </w:tcPr>
          <w:p w:rsidR="00123DDC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:rsidR="00123DDC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300,-</w:t>
            </w:r>
          </w:p>
        </w:tc>
        <w:tc>
          <w:tcPr>
            <w:tcW w:w="2043" w:type="dxa"/>
            <w:gridSpan w:val="2"/>
            <w:noWrap/>
          </w:tcPr>
          <w:p w:rsidR="00123DDC" w:rsidRPr="00123DDC" w:rsidRDefault="00123DD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3DDC">
              <w:rPr>
                <w:rFonts w:ascii="Arial" w:hAnsi="Arial" w:cs="Arial"/>
                <w:sz w:val="21"/>
                <w:szCs w:val="21"/>
              </w:rPr>
              <w:t>300,-</w:t>
            </w:r>
          </w:p>
        </w:tc>
      </w:tr>
      <w:tr w:rsidR="00B3237A" w:rsidRPr="006F6BBE" w:rsidTr="00011CA5">
        <w:tc>
          <w:tcPr>
            <w:tcW w:w="7214" w:type="dxa"/>
            <w:gridSpan w:val="4"/>
            <w:tcBorders>
              <w:right w:val="nil"/>
            </w:tcBorders>
          </w:tcPr>
          <w:p w:rsidR="00B3237A" w:rsidRPr="00123DDC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123DDC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:rsidR="00B3237A" w:rsidRPr="00123DDC" w:rsidRDefault="00123DDC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23DDC">
              <w:rPr>
                <w:rFonts w:ascii="Arial" w:hAnsi="Arial" w:cs="Arial"/>
                <w:b/>
                <w:sz w:val="21"/>
                <w:szCs w:val="21"/>
              </w:rPr>
              <w:t xml:space="preserve">115.670 </w:t>
            </w:r>
            <w:r w:rsidR="00B3237A" w:rsidRPr="00123DDC">
              <w:rPr>
                <w:rFonts w:ascii="Arial" w:hAnsi="Arial" w:cs="Arial"/>
                <w:b/>
                <w:sz w:val="21"/>
                <w:szCs w:val="21"/>
              </w:rPr>
              <w:t>Kč</w:t>
            </w:r>
          </w:p>
        </w:tc>
      </w:tr>
    </w:tbl>
    <w:p w:rsidR="00B3237A" w:rsidRPr="00202D26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37725D">
        <w:rPr>
          <w:rFonts w:cs="Arial"/>
          <w:sz w:val="21"/>
          <w:szCs w:val="21"/>
        </w:rPr>
        <w:t>prodávajícího</w:t>
      </w:r>
      <w:r w:rsidR="00792B2A" w:rsidRPr="0037725D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>na plnění tét</w:t>
      </w:r>
      <w:r w:rsidRPr="006F6BBE">
        <w:rPr>
          <w:rFonts w:cs="Arial"/>
          <w:sz w:val="21"/>
          <w:szCs w:val="21"/>
        </w:rPr>
        <w:t>o smlouvy a cenové vlivy v průběhu plnění této smlouvy.</w:t>
      </w:r>
    </w:p>
    <w:p w:rsidR="0090102A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1576F7" w:rsidRPr="0037725D" w:rsidRDefault="0037725D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</w:t>
      </w:r>
      <w:r w:rsidRPr="0037725D">
        <w:rPr>
          <w:rFonts w:cs="Arial"/>
          <w:sz w:val="21"/>
          <w:szCs w:val="21"/>
        </w:rPr>
        <w:t>koupě</w:t>
      </w:r>
      <w:r w:rsidR="001576F7" w:rsidRPr="0037725D">
        <w:rPr>
          <w:rFonts w:cs="Arial"/>
          <w:sz w:val="21"/>
          <w:szCs w:val="21"/>
        </w:rPr>
        <w:t xml:space="preserve"> a provádění servisu</w:t>
      </w:r>
      <w:r w:rsidR="00B204F2" w:rsidRPr="0037725D">
        <w:rPr>
          <w:rFonts w:cs="Arial"/>
          <w:sz w:val="21"/>
          <w:szCs w:val="21"/>
        </w:rPr>
        <w:t xml:space="preserve"> bude p</w:t>
      </w:r>
      <w:r w:rsidR="00B204F2">
        <w:rPr>
          <w:rFonts w:cs="Arial"/>
          <w:sz w:val="21"/>
          <w:szCs w:val="21"/>
        </w:rPr>
        <w:t>lacena</w:t>
      </w:r>
      <w:r w:rsidR="001576F7"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="001576F7" w:rsidRPr="006F6BBE">
        <w:rPr>
          <w:rFonts w:cs="Arial"/>
          <w:sz w:val="21"/>
          <w:szCs w:val="21"/>
        </w:rPr>
        <w:t xml:space="preserve">. </w:t>
      </w:r>
      <w:r w:rsidR="001576F7" w:rsidRPr="0037725D">
        <w:rPr>
          <w:rFonts w:cs="Arial"/>
          <w:sz w:val="21"/>
          <w:szCs w:val="21"/>
        </w:rPr>
        <w:t xml:space="preserve">Přílohou faktury bude </w:t>
      </w:r>
      <w:r w:rsidR="00B113DB" w:rsidRPr="0037725D">
        <w:rPr>
          <w:rFonts w:cs="Arial"/>
          <w:sz w:val="21"/>
          <w:szCs w:val="21"/>
        </w:rPr>
        <w:t>kopie potvrzení převzetí předmětu koupě</w:t>
      </w:r>
      <w:r w:rsidR="002A1077">
        <w:rPr>
          <w:rFonts w:cs="Arial"/>
          <w:sz w:val="21"/>
          <w:szCs w:val="21"/>
        </w:rPr>
        <w:t>.</w:t>
      </w:r>
    </w:p>
    <w:p w:rsidR="00A87FD9" w:rsidRDefault="00A87FD9" w:rsidP="00A87F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EA381B">
        <w:rPr>
          <w:rFonts w:cs="Arial"/>
          <w:sz w:val="21"/>
          <w:szCs w:val="21"/>
        </w:rPr>
        <w:t xml:space="preserve"> mít náležitosti daňového dokladu</w:t>
      </w:r>
      <w:r>
        <w:rPr>
          <w:rFonts w:cs="Arial"/>
          <w:sz w:val="21"/>
          <w:szCs w:val="21"/>
        </w:rPr>
        <w:t>.</w:t>
      </w:r>
    </w:p>
    <w:p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</w:t>
      </w:r>
      <w:r w:rsidR="002A1077">
        <w:rPr>
          <w:rFonts w:cs="Arial"/>
          <w:sz w:val="21"/>
          <w:szCs w:val="21"/>
        </w:rPr>
        <w:t>daně v následujících případech:</w:t>
      </w:r>
    </w:p>
    <w:p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886DE1" w:rsidRP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321A57" w:rsidRPr="00E57AA1" w:rsidRDefault="006D62AC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37725D">
        <w:rPr>
          <w:rFonts w:cs="Arial"/>
          <w:sz w:val="21"/>
          <w:szCs w:val="21"/>
        </w:rPr>
        <w:t xml:space="preserve">dobu </w:t>
      </w:r>
      <w:r w:rsidR="00DD15CD">
        <w:rPr>
          <w:rFonts w:cs="Arial"/>
          <w:b/>
          <w:sz w:val="21"/>
          <w:szCs w:val="21"/>
        </w:rPr>
        <w:t>24</w:t>
      </w:r>
      <w:r w:rsidRPr="0037725D">
        <w:rPr>
          <w:rFonts w:cs="Arial"/>
          <w:b/>
          <w:sz w:val="21"/>
          <w:szCs w:val="21"/>
        </w:rPr>
        <w:t xml:space="preserve"> mě</w:t>
      </w:r>
      <w:r w:rsidRPr="006F6BBE">
        <w:rPr>
          <w:rFonts w:cs="Arial"/>
          <w:b/>
          <w:sz w:val="21"/>
          <w:szCs w:val="21"/>
        </w:rPr>
        <w:t>síců</w:t>
      </w:r>
      <w:r w:rsidRPr="006F6BBE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773026" w:rsidRPr="00E57AA1" w:rsidRDefault="00AF7BFD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b/>
          <w:sz w:val="21"/>
          <w:szCs w:val="21"/>
        </w:rPr>
        <w:t xml:space="preserve">do </w:t>
      </w:r>
      <w:r w:rsidR="00DD4560" w:rsidRPr="0037725D">
        <w:rPr>
          <w:rFonts w:cs="Arial"/>
          <w:b/>
          <w:sz w:val="21"/>
          <w:szCs w:val="21"/>
        </w:rPr>
        <w:t>1</w:t>
      </w:r>
      <w:r w:rsidRPr="0037725D">
        <w:rPr>
          <w:rFonts w:cs="Arial"/>
          <w:b/>
          <w:sz w:val="21"/>
          <w:szCs w:val="21"/>
        </w:rPr>
        <w:t xml:space="preserve">0 </w:t>
      </w:r>
      <w:r w:rsidR="00DD4560" w:rsidRPr="0037725D">
        <w:rPr>
          <w:rFonts w:cs="Arial"/>
          <w:b/>
          <w:sz w:val="21"/>
          <w:szCs w:val="21"/>
        </w:rPr>
        <w:t xml:space="preserve">pracovních </w:t>
      </w:r>
      <w:r w:rsidRPr="0037725D">
        <w:rPr>
          <w:rFonts w:cs="Arial"/>
          <w:b/>
          <w:sz w:val="21"/>
          <w:szCs w:val="21"/>
        </w:rPr>
        <w:t>dnů od vytknutí</w:t>
      </w:r>
      <w:r w:rsidRPr="006F6BBE">
        <w:rPr>
          <w:rFonts w:cs="Arial"/>
          <w:b/>
          <w:sz w:val="21"/>
          <w:szCs w:val="21"/>
        </w:rPr>
        <w:t xml:space="preserve">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18799D" w:rsidRDefault="0018799D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721B3F" w:rsidRPr="006F6BBE" w:rsidRDefault="00721B3F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</w:t>
      </w:r>
      <w:r w:rsidR="00773026" w:rsidRPr="007430F7">
        <w:rPr>
          <w:rFonts w:cs="Arial"/>
          <w:sz w:val="21"/>
          <w:szCs w:val="21"/>
        </w:rPr>
        <w:t xml:space="preserve">výši </w:t>
      </w:r>
      <w:r w:rsidR="00123DDC">
        <w:rPr>
          <w:rFonts w:cs="Arial"/>
          <w:b/>
          <w:sz w:val="21"/>
          <w:szCs w:val="21"/>
        </w:rPr>
        <w:t>2</w:t>
      </w:r>
      <w:r w:rsidR="0072403A">
        <w:rPr>
          <w:rFonts w:cs="Arial"/>
          <w:b/>
          <w:sz w:val="21"/>
          <w:szCs w:val="21"/>
        </w:rPr>
        <w:t>0</w:t>
      </w:r>
      <w:r w:rsidR="007430F7" w:rsidRPr="007430F7">
        <w:rPr>
          <w:rFonts w:cs="Arial"/>
          <w:b/>
          <w:sz w:val="21"/>
          <w:szCs w:val="21"/>
        </w:rPr>
        <w:t>0</w:t>
      </w:r>
      <w:r w:rsidR="00773026" w:rsidRPr="007430F7">
        <w:rPr>
          <w:rFonts w:cs="Arial"/>
          <w:b/>
          <w:sz w:val="21"/>
          <w:szCs w:val="21"/>
        </w:rPr>
        <w:t xml:space="preserve"> Kč</w:t>
      </w:r>
      <w:r w:rsidR="00773026" w:rsidRPr="007430F7">
        <w:rPr>
          <w:rFonts w:cs="Arial"/>
          <w:sz w:val="21"/>
          <w:szCs w:val="21"/>
        </w:rPr>
        <w:t xml:space="preserve"> </w:t>
      </w:r>
      <w:r w:rsidR="00773026" w:rsidRPr="007430F7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A32A45" w:rsidRPr="00A32A45" w:rsidRDefault="00A32A45" w:rsidP="00A32A4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:rsidR="00886DE1" w:rsidRP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rFonts w:cs="Arial"/>
          <w:sz w:val="21"/>
          <w:szCs w:val="21"/>
        </w:rPr>
        <w:t>106a</w:t>
      </w:r>
      <w:proofErr w:type="gramEnd"/>
      <w:r w:rsidRPr="00806BB0">
        <w:rPr>
          <w:rFonts w:cs="Arial"/>
          <w:sz w:val="21"/>
          <w:szCs w:val="21"/>
        </w:rPr>
        <w:t xml:space="preserve">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F9199E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18799D" w:rsidRPr="007729ED" w:rsidRDefault="0033279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Zástupcem kupujícího je </w:t>
      </w:r>
      <w:r w:rsidR="00123DDC">
        <w:rPr>
          <w:rFonts w:cs="Arial"/>
          <w:sz w:val="21"/>
          <w:szCs w:val="21"/>
        </w:rPr>
        <w:t xml:space="preserve">RNDr. Jiří </w:t>
      </w:r>
      <w:proofErr w:type="spellStart"/>
      <w:r w:rsidR="00123DDC">
        <w:rPr>
          <w:rFonts w:cs="Arial"/>
          <w:sz w:val="21"/>
          <w:szCs w:val="21"/>
        </w:rPr>
        <w:t>Jakubínský</w:t>
      </w:r>
      <w:proofErr w:type="spellEnd"/>
      <w:r w:rsidR="007729ED">
        <w:rPr>
          <w:rFonts w:cs="Arial"/>
          <w:sz w:val="21"/>
          <w:szCs w:val="21"/>
        </w:rPr>
        <w:t>, Ph.D.</w:t>
      </w:r>
      <w:r w:rsidR="007430F7" w:rsidRPr="008F4267">
        <w:rPr>
          <w:rFonts w:cs="Arial"/>
          <w:sz w:val="21"/>
          <w:szCs w:val="21"/>
        </w:rPr>
        <w:t xml:space="preserve">, </w:t>
      </w:r>
      <w:proofErr w:type="spellStart"/>
      <w:r w:rsidR="0043003E">
        <w:t>xxxxxxxxxxxxxxxxxxxxxxxx</w:t>
      </w:r>
      <w:proofErr w:type="spellEnd"/>
      <w:r w:rsidR="002A107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:rsidR="00F9199E" w:rsidRPr="007729ED" w:rsidRDefault="00730418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DD15CD">
        <w:rPr>
          <w:rFonts w:cs="Arial"/>
          <w:sz w:val="21"/>
          <w:szCs w:val="21"/>
        </w:rPr>
        <w:t>J</w:t>
      </w:r>
      <w:r w:rsidR="003D5369">
        <w:rPr>
          <w:rFonts w:cs="Arial"/>
          <w:sz w:val="21"/>
          <w:szCs w:val="21"/>
        </w:rPr>
        <w:t xml:space="preserve">an </w:t>
      </w:r>
      <w:proofErr w:type="spellStart"/>
      <w:r w:rsidR="003D5369">
        <w:rPr>
          <w:rFonts w:cs="Arial"/>
          <w:sz w:val="21"/>
          <w:szCs w:val="21"/>
        </w:rPr>
        <w:t>Herber</w:t>
      </w:r>
      <w:proofErr w:type="spellEnd"/>
      <w:r w:rsidRPr="006F6BBE">
        <w:rPr>
          <w:rFonts w:cs="Arial"/>
          <w:sz w:val="21"/>
          <w:szCs w:val="21"/>
        </w:rPr>
        <w:t>. Tento zástupce prodávajícího může za pr</w:t>
      </w:r>
      <w:bookmarkStart w:id="0" w:name="_GoBack"/>
      <w:bookmarkEnd w:id="0"/>
      <w:r w:rsidRPr="006F6BBE">
        <w:rPr>
          <w:rFonts w:cs="Arial"/>
          <w:sz w:val="21"/>
          <w:szCs w:val="21"/>
        </w:rPr>
        <w:t>odávajícího v souvislosti s</w:t>
      </w:r>
      <w:r>
        <w:rPr>
          <w:rFonts w:cs="Arial"/>
          <w:sz w:val="21"/>
          <w:szCs w:val="21"/>
        </w:rPr>
        <w:t xml:space="preserve"> touto </w:t>
      </w:r>
      <w:proofErr w:type="gramStart"/>
      <w:r>
        <w:rPr>
          <w:rFonts w:cs="Arial"/>
          <w:sz w:val="21"/>
          <w:szCs w:val="21"/>
        </w:rPr>
        <w:t>smlouvou</w:t>
      </w:r>
      <w:proofErr w:type="gramEnd"/>
      <w:r>
        <w:rPr>
          <w:rFonts w:cs="Arial"/>
          <w:sz w:val="21"/>
          <w:szCs w:val="21"/>
        </w:rPr>
        <w:t xml:space="preserve"> jakkoliv jednat.</w:t>
      </w:r>
    </w:p>
    <w:p w:rsidR="0018799D" w:rsidRDefault="0018799D" w:rsidP="00DE5A99">
      <w:pPr>
        <w:rPr>
          <w:rFonts w:cs="Arial"/>
          <w:sz w:val="21"/>
          <w:szCs w:val="21"/>
        </w:rPr>
      </w:pPr>
    </w:p>
    <w:p w:rsidR="0072403A" w:rsidRPr="006F6BBE" w:rsidRDefault="0072403A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18799D" w:rsidRPr="007729ED" w:rsidRDefault="004640C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355A6E" w:rsidRPr="00355A6E" w:rsidRDefault="00355A6E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886DE1" w:rsidRPr="00DB0E8B" w:rsidRDefault="002218A9" w:rsidP="00DB0E8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DD15CD">
        <w:rPr>
          <w:rFonts w:cs="Arial"/>
          <w:sz w:val="21"/>
          <w:szCs w:val="21"/>
        </w:rPr>
        <w:t>zveřejnění v</w:t>
      </w:r>
      <w:r w:rsidR="007729ED">
        <w:rPr>
          <w:rFonts w:cs="Arial"/>
          <w:sz w:val="21"/>
          <w:szCs w:val="21"/>
        </w:rPr>
        <w:t xml:space="preserve"> registru smluv.</w:t>
      </w: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355A6E">
        <w:trPr>
          <w:trHeight w:val="80"/>
        </w:trPr>
        <w:tc>
          <w:tcPr>
            <w:tcW w:w="4606" w:type="dxa"/>
            <w:vAlign w:val="center"/>
          </w:tcPr>
          <w:p w:rsidR="00DA7E4F" w:rsidRPr="00262572" w:rsidRDefault="00DA7E4F" w:rsidP="004F6ED1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572">
              <w:rPr>
                <w:rFonts w:ascii="Arial" w:hAnsi="Arial" w:cs="Arial"/>
                <w:sz w:val="21"/>
                <w:szCs w:val="21"/>
              </w:rPr>
              <w:lastRenderedPageBreak/>
              <w:t>V</w:t>
            </w:r>
            <w:r w:rsidR="00A32A45">
              <w:rPr>
                <w:rFonts w:ascii="Arial" w:hAnsi="Arial" w:cs="Arial"/>
                <w:sz w:val="21"/>
                <w:szCs w:val="21"/>
              </w:rPr>
              <w:t> </w:t>
            </w:r>
            <w:r w:rsidR="004F6ED1">
              <w:rPr>
                <w:rFonts w:ascii="Arial" w:hAnsi="Arial" w:cs="Arial"/>
                <w:sz w:val="21"/>
                <w:szCs w:val="21"/>
              </w:rPr>
              <w:t>Karlíku</w:t>
            </w:r>
            <w:r w:rsidRPr="00262572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DA7E4F" w:rsidRPr="006F6BBE" w:rsidRDefault="009F0E38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26257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262572" w:rsidRDefault="00730418" w:rsidP="007D569D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7D569D">
              <w:rPr>
                <w:rFonts w:ascii="Arial" w:hAnsi="Arial" w:cs="Arial"/>
                <w:sz w:val="21"/>
                <w:szCs w:val="21"/>
              </w:rPr>
              <w:t>Arnošt Mráz CSc.,</w:t>
            </w:r>
            <w:r w:rsidR="00DB0E8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D569D">
              <w:rPr>
                <w:rFonts w:ascii="Arial" w:hAnsi="Arial" w:cs="Arial"/>
                <w:sz w:val="21"/>
                <w:szCs w:val="21"/>
              </w:rPr>
              <w:t>MBA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A2B4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7D569D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DA7E4F" w:rsidRPr="006F6BBE" w:rsidRDefault="0026257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B3237A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3237A">
              <w:rPr>
                <w:rFonts w:ascii="Arial" w:hAnsi="Arial" w:cs="Arial"/>
                <w:sz w:val="21"/>
                <w:szCs w:val="21"/>
              </w:rPr>
              <w:t>Ekotechnika</w:t>
            </w:r>
            <w:proofErr w:type="spellEnd"/>
            <w:r w:rsidRPr="00B3237A">
              <w:rPr>
                <w:rFonts w:ascii="Arial" w:hAnsi="Arial" w:cs="Arial"/>
                <w:sz w:val="21"/>
                <w:szCs w:val="21"/>
              </w:rPr>
              <w:t xml:space="preserve"> spol. s r.o.</w:t>
            </w:r>
          </w:p>
        </w:tc>
        <w:tc>
          <w:tcPr>
            <w:tcW w:w="5000" w:type="dxa"/>
            <w:vAlign w:val="center"/>
          </w:tcPr>
          <w:p w:rsidR="00DA7E4F" w:rsidRPr="006F6BBE" w:rsidRDefault="00AA2B4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355A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763" w:rsidRDefault="00317763" w:rsidP="00E837B7">
      <w:pPr>
        <w:spacing w:before="0" w:after="0"/>
      </w:pPr>
      <w:r>
        <w:separator/>
      </w:r>
    </w:p>
  </w:endnote>
  <w:endnote w:type="continuationSeparator" w:id="0">
    <w:p w:rsidR="00317763" w:rsidRDefault="00317763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DB0E8B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DB0E8B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6B240E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6B240E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763" w:rsidRDefault="00317763" w:rsidP="00E837B7">
      <w:pPr>
        <w:spacing w:before="0" w:after="0"/>
      </w:pPr>
      <w:r>
        <w:separator/>
      </w:r>
    </w:p>
  </w:footnote>
  <w:footnote w:type="continuationSeparator" w:id="0">
    <w:p w:rsidR="00317763" w:rsidRDefault="00317763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F6BBE" w:rsidRDefault="00123DDC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Senzory k multiparametrické sondě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922" w:rsidRDefault="00A43922" w:rsidP="00E837B7">
    <w:pPr>
      <w:pStyle w:val="Zhlav"/>
      <w:jc w:val="center"/>
      <w:rPr>
        <w:noProof/>
        <w:lang w:eastAsia="cs-CZ"/>
      </w:rPr>
    </w:pPr>
  </w:p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0BE6F9C8" wp14:editId="370929AD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32A45" w:rsidRDefault="00A32A45" w:rsidP="00E837B7">
    <w:pPr>
      <w:pStyle w:val="Zhlav"/>
      <w:jc w:val="center"/>
      <w:rPr>
        <w:rFonts w:cs="Arial"/>
      </w:rPr>
    </w:pPr>
  </w:p>
  <w:p w:rsidR="00E837B7" w:rsidRPr="00E837B7" w:rsidRDefault="00E837B7" w:rsidP="00A43922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426"/>
    <w:multiLevelType w:val="hybridMultilevel"/>
    <w:tmpl w:val="5ACA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85079"/>
    <w:rsid w:val="00090B69"/>
    <w:rsid w:val="000B0562"/>
    <w:rsid w:val="000B146D"/>
    <w:rsid w:val="000B2F72"/>
    <w:rsid w:val="000E294E"/>
    <w:rsid w:val="00104399"/>
    <w:rsid w:val="0010510A"/>
    <w:rsid w:val="00106E4A"/>
    <w:rsid w:val="00110D2C"/>
    <w:rsid w:val="00123DDC"/>
    <w:rsid w:val="001244D4"/>
    <w:rsid w:val="001576F7"/>
    <w:rsid w:val="0017523F"/>
    <w:rsid w:val="0018799D"/>
    <w:rsid w:val="0019664E"/>
    <w:rsid w:val="00197ED4"/>
    <w:rsid w:val="001B007B"/>
    <w:rsid w:val="001B445F"/>
    <w:rsid w:val="001C2981"/>
    <w:rsid w:val="001D0464"/>
    <w:rsid w:val="001F5F10"/>
    <w:rsid w:val="00206064"/>
    <w:rsid w:val="00213072"/>
    <w:rsid w:val="002218A9"/>
    <w:rsid w:val="002266F4"/>
    <w:rsid w:val="00226DD9"/>
    <w:rsid w:val="0024072D"/>
    <w:rsid w:val="0025320E"/>
    <w:rsid w:val="00262572"/>
    <w:rsid w:val="002769BD"/>
    <w:rsid w:val="00277399"/>
    <w:rsid w:val="00290C01"/>
    <w:rsid w:val="00293780"/>
    <w:rsid w:val="002A1077"/>
    <w:rsid w:val="002A10CE"/>
    <w:rsid w:val="002A4BE0"/>
    <w:rsid w:val="002A53F1"/>
    <w:rsid w:val="002B60E5"/>
    <w:rsid w:val="002D1D3E"/>
    <w:rsid w:val="002F5DC3"/>
    <w:rsid w:val="00317763"/>
    <w:rsid w:val="0032134F"/>
    <w:rsid w:val="00321A57"/>
    <w:rsid w:val="00322F8C"/>
    <w:rsid w:val="00324A46"/>
    <w:rsid w:val="003271F6"/>
    <w:rsid w:val="00332790"/>
    <w:rsid w:val="00337D56"/>
    <w:rsid w:val="00355A6E"/>
    <w:rsid w:val="00357108"/>
    <w:rsid w:val="0036166F"/>
    <w:rsid w:val="0037725D"/>
    <w:rsid w:val="00382D22"/>
    <w:rsid w:val="003A5567"/>
    <w:rsid w:val="003A7003"/>
    <w:rsid w:val="003B0B43"/>
    <w:rsid w:val="003C74B6"/>
    <w:rsid w:val="003D5369"/>
    <w:rsid w:val="003D68E4"/>
    <w:rsid w:val="003E61B9"/>
    <w:rsid w:val="003E6BE8"/>
    <w:rsid w:val="003F01A9"/>
    <w:rsid w:val="00414754"/>
    <w:rsid w:val="0041559E"/>
    <w:rsid w:val="004218BE"/>
    <w:rsid w:val="0043003E"/>
    <w:rsid w:val="0043129F"/>
    <w:rsid w:val="004640C0"/>
    <w:rsid w:val="00474362"/>
    <w:rsid w:val="004F6ED1"/>
    <w:rsid w:val="004F78B5"/>
    <w:rsid w:val="00501564"/>
    <w:rsid w:val="00506F22"/>
    <w:rsid w:val="00517DEC"/>
    <w:rsid w:val="005211CC"/>
    <w:rsid w:val="00544E72"/>
    <w:rsid w:val="0055374D"/>
    <w:rsid w:val="005579B0"/>
    <w:rsid w:val="00564919"/>
    <w:rsid w:val="0057367C"/>
    <w:rsid w:val="00575113"/>
    <w:rsid w:val="00575F0C"/>
    <w:rsid w:val="00576AC1"/>
    <w:rsid w:val="005A2C26"/>
    <w:rsid w:val="005A4B9C"/>
    <w:rsid w:val="005A5AFA"/>
    <w:rsid w:val="005B2405"/>
    <w:rsid w:val="005C0429"/>
    <w:rsid w:val="005C34D9"/>
    <w:rsid w:val="005C3B19"/>
    <w:rsid w:val="005C57DC"/>
    <w:rsid w:val="005D529A"/>
    <w:rsid w:val="005F2A58"/>
    <w:rsid w:val="00614CC8"/>
    <w:rsid w:val="00647399"/>
    <w:rsid w:val="00665831"/>
    <w:rsid w:val="00694944"/>
    <w:rsid w:val="00695CC2"/>
    <w:rsid w:val="006975AB"/>
    <w:rsid w:val="006A62FE"/>
    <w:rsid w:val="006B137B"/>
    <w:rsid w:val="006B240E"/>
    <w:rsid w:val="006C30B5"/>
    <w:rsid w:val="006C69C6"/>
    <w:rsid w:val="006C6BFB"/>
    <w:rsid w:val="006D532D"/>
    <w:rsid w:val="006D62AC"/>
    <w:rsid w:val="006E69D6"/>
    <w:rsid w:val="006F29AC"/>
    <w:rsid w:val="006F6BBE"/>
    <w:rsid w:val="00700E21"/>
    <w:rsid w:val="007072A6"/>
    <w:rsid w:val="0071240D"/>
    <w:rsid w:val="00721B3F"/>
    <w:rsid w:val="00723C1C"/>
    <w:rsid w:val="0072403A"/>
    <w:rsid w:val="00730418"/>
    <w:rsid w:val="00731FE5"/>
    <w:rsid w:val="007430F7"/>
    <w:rsid w:val="0074796D"/>
    <w:rsid w:val="00751A33"/>
    <w:rsid w:val="00763415"/>
    <w:rsid w:val="007729ED"/>
    <w:rsid w:val="00773026"/>
    <w:rsid w:val="00773DE2"/>
    <w:rsid w:val="00776499"/>
    <w:rsid w:val="007835B6"/>
    <w:rsid w:val="00783BF2"/>
    <w:rsid w:val="00792B2A"/>
    <w:rsid w:val="007A2C39"/>
    <w:rsid w:val="007D0C33"/>
    <w:rsid w:val="007D569D"/>
    <w:rsid w:val="007D768E"/>
    <w:rsid w:val="00805FF5"/>
    <w:rsid w:val="00823977"/>
    <w:rsid w:val="00825909"/>
    <w:rsid w:val="008430F0"/>
    <w:rsid w:val="00847C32"/>
    <w:rsid w:val="00860B64"/>
    <w:rsid w:val="00861FC5"/>
    <w:rsid w:val="0087215B"/>
    <w:rsid w:val="008822F5"/>
    <w:rsid w:val="00883897"/>
    <w:rsid w:val="00886276"/>
    <w:rsid w:val="00886DE1"/>
    <w:rsid w:val="008A1898"/>
    <w:rsid w:val="008A793C"/>
    <w:rsid w:val="008C513F"/>
    <w:rsid w:val="008D127B"/>
    <w:rsid w:val="008E31F1"/>
    <w:rsid w:val="0090102A"/>
    <w:rsid w:val="00915456"/>
    <w:rsid w:val="00924967"/>
    <w:rsid w:val="0094492F"/>
    <w:rsid w:val="00952B2B"/>
    <w:rsid w:val="009B0C68"/>
    <w:rsid w:val="009B449A"/>
    <w:rsid w:val="009E4287"/>
    <w:rsid w:val="009F0E38"/>
    <w:rsid w:val="009F73E3"/>
    <w:rsid w:val="00A043B1"/>
    <w:rsid w:val="00A17C78"/>
    <w:rsid w:val="00A2142F"/>
    <w:rsid w:val="00A32A45"/>
    <w:rsid w:val="00A43922"/>
    <w:rsid w:val="00A72BFE"/>
    <w:rsid w:val="00A74B67"/>
    <w:rsid w:val="00A82B36"/>
    <w:rsid w:val="00A87FD9"/>
    <w:rsid w:val="00A9561E"/>
    <w:rsid w:val="00A95AE2"/>
    <w:rsid w:val="00AA2B49"/>
    <w:rsid w:val="00AB4B83"/>
    <w:rsid w:val="00AC65A0"/>
    <w:rsid w:val="00AF7BFD"/>
    <w:rsid w:val="00B024CF"/>
    <w:rsid w:val="00B113DB"/>
    <w:rsid w:val="00B15EAA"/>
    <w:rsid w:val="00B204F2"/>
    <w:rsid w:val="00B26E87"/>
    <w:rsid w:val="00B3237A"/>
    <w:rsid w:val="00B34634"/>
    <w:rsid w:val="00B47478"/>
    <w:rsid w:val="00B51059"/>
    <w:rsid w:val="00B5522F"/>
    <w:rsid w:val="00B608FB"/>
    <w:rsid w:val="00B60EA0"/>
    <w:rsid w:val="00B719FC"/>
    <w:rsid w:val="00B74C17"/>
    <w:rsid w:val="00BB43C9"/>
    <w:rsid w:val="00BC0496"/>
    <w:rsid w:val="00BC7A71"/>
    <w:rsid w:val="00BE2F06"/>
    <w:rsid w:val="00BF4939"/>
    <w:rsid w:val="00C00D60"/>
    <w:rsid w:val="00C3247A"/>
    <w:rsid w:val="00C43690"/>
    <w:rsid w:val="00C459DF"/>
    <w:rsid w:val="00C52798"/>
    <w:rsid w:val="00C967DA"/>
    <w:rsid w:val="00CA2907"/>
    <w:rsid w:val="00CC3782"/>
    <w:rsid w:val="00CE3DDD"/>
    <w:rsid w:val="00D05A8A"/>
    <w:rsid w:val="00D36E39"/>
    <w:rsid w:val="00D376A3"/>
    <w:rsid w:val="00D573D4"/>
    <w:rsid w:val="00D643DA"/>
    <w:rsid w:val="00D90138"/>
    <w:rsid w:val="00D92994"/>
    <w:rsid w:val="00D9333D"/>
    <w:rsid w:val="00D97002"/>
    <w:rsid w:val="00DA7E4F"/>
    <w:rsid w:val="00DB0E8B"/>
    <w:rsid w:val="00DB6E45"/>
    <w:rsid w:val="00DC1641"/>
    <w:rsid w:val="00DD15CD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BDE"/>
    <w:rsid w:val="00E46985"/>
    <w:rsid w:val="00E46D1A"/>
    <w:rsid w:val="00E5688A"/>
    <w:rsid w:val="00E57AA1"/>
    <w:rsid w:val="00E64697"/>
    <w:rsid w:val="00E73A9C"/>
    <w:rsid w:val="00E8036B"/>
    <w:rsid w:val="00E837B7"/>
    <w:rsid w:val="00E83B9E"/>
    <w:rsid w:val="00EA13EF"/>
    <w:rsid w:val="00ED5992"/>
    <w:rsid w:val="00EE703B"/>
    <w:rsid w:val="00F02F2D"/>
    <w:rsid w:val="00F06D9F"/>
    <w:rsid w:val="00F13677"/>
    <w:rsid w:val="00F1387A"/>
    <w:rsid w:val="00F252E5"/>
    <w:rsid w:val="00F416AE"/>
    <w:rsid w:val="00F51721"/>
    <w:rsid w:val="00F57D05"/>
    <w:rsid w:val="00F641CA"/>
    <w:rsid w:val="00F715DC"/>
    <w:rsid w:val="00F74936"/>
    <w:rsid w:val="00F83476"/>
    <w:rsid w:val="00F9199E"/>
    <w:rsid w:val="00FA7027"/>
    <w:rsid w:val="00FB1436"/>
    <w:rsid w:val="00FB236F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1D3A9"/>
  <w15:docId w15:val="{389F37A3-A231-4A0E-B51F-4E5FBB6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uiPriority w:val="99"/>
    <w:rsid w:val="007430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3DCC-FD44-4D0B-88AF-11D99BCC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1743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dc:description/>
  <cp:lastModifiedBy>Lenka Dusová</cp:lastModifiedBy>
  <cp:revision>4</cp:revision>
  <cp:lastPrinted>2014-12-09T10:08:00Z</cp:lastPrinted>
  <dcterms:created xsi:type="dcterms:W3CDTF">2021-11-18T10:13:00Z</dcterms:created>
  <dcterms:modified xsi:type="dcterms:W3CDTF">2021-11-26T13:08:00Z</dcterms:modified>
</cp:coreProperties>
</file>