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4E63" w14:textId="239A71A0" w:rsidR="0034252B" w:rsidRDefault="0034252B" w:rsidP="00714C04"/>
    <w:p w14:paraId="7CD46875" w14:textId="77777777" w:rsidR="00714C04" w:rsidRDefault="00714C04" w:rsidP="00714C04">
      <w:pPr>
        <w:widowControl w:val="0"/>
        <w:rPr>
          <w:rFonts w:ascii="Arial" w:hAnsi="Arial" w:cs="Arial"/>
          <w:b/>
        </w:rPr>
      </w:pPr>
      <w:r>
        <w:rPr>
          <w:rFonts w:ascii="Arial" w:hAnsi="Arial" w:cs="Arial"/>
          <w:b/>
        </w:rPr>
        <w:t>UniCredit Bank Czech Republic and Slovakia, a.s.,</w:t>
      </w:r>
    </w:p>
    <w:p w14:paraId="7BB85AF8" w14:textId="77777777" w:rsidR="00714C04" w:rsidRDefault="00714C04" w:rsidP="00714C04">
      <w:pPr>
        <w:pStyle w:val="Styl1"/>
        <w:widowControl w:val="0"/>
        <w:rPr>
          <w:rFonts w:ascii="Arial" w:hAnsi="Arial" w:cs="Arial"/>
        </w:rPr>
      </w:pPr>
      <w:r>
        <w:rPr>
          <w:rFonts w:ascii="Arial" w:hAnsi="Arial" w:cs="Arial"/>
        </w:rPr>
        <w:t>sídlem Praha 4 - Michle, Želetavská 1525/1, PSČ 140 92,</w:t>
      </w:r>
    </w:p>
    <w:p w14:paraId="6A86CFB5" w14:textId="77777777" w:rsidR="00714C04" w:rsidRDefault="00714C04" w:rsidP="00714C04">
      <w:pPr>
        <w:widowControl w:val="0"/>
        <w:jc w:val="both"/>
        <w:rPr>
          <w:rFonts w:ascii="Arial" w:hAnsi="Arial" w:cs="Arial"/>
        </w:rPr>
      </w:pPr>
      <w:r>
        <w:rPr>
          <w:rFonts w:ascii="Arial" w:hAnsi="Arial" w:cs="Arial"/>
        </w:rPr>
        <w:t>IČO 64948242, zapsaná v obchodním rejstříku vedeném Městským soudem v Praze, oddíl B, vložka 3608,</w:t>
      </w:r>
    </w:p>
    <w:p w14:paraId="50DB3715" w14:textId="77777777" w:rsidR="00714C04" w:rsidRDefault="00714C04" w:rsidP="00714C04">
      <w:pPr>
        <w:widowControl w:val="0"/>
        <w:jc w:val="both"/>
        <w:rPr>
          <w:rFonts w:ascii="Arial" w:hAnsi="Arial" w:cs="Arial"/>
        </w:rPr>
      </w:pPr>
      <w:r>
        <w:rPr>
          <w:rFonts w:ascii="Arial" w:hAnsi="Arial" w:cs="Arial"/>
        </w:rPr>
        <w:t xml:space="preserve">zastoupená oprávněnými níže podepsanými osobami, </w:t>
      </w:r>
    </w:p>
    <w:p w14:paraId="04DD02CA" w14:textId="77777777" w:rsidR="00714C04" w:rsidRDefault="00714C04" w:rsidP="00714C04">
      <w:pPr>
        <w:widowControl w:val="0"/>
        <w:jc w:val="both"/>
        <w:rPr>
          <w:rFonts w:ascii="Arial" w:hAnsi="Arial" w:cs="Arial"/>
        </w:rPr>
      </w:pPr>
      <w:r>
        <w:rPr>
          <w:rFonts w:ascii="Arial" w:hAnsi="Arial" w:cs="Arial"/>
        </w:rPr>
        <w:t xml:space="preserve">na straně jedné jako úvěrující </w:t>
      </w:r>
    </w:p>
    <w:p w14:paraId="2DC0B0E9" w14:textId="77777777" w:rsidR="00714C04" w:rsidRDefault="00714C04" w:rsidP="00714C04">
      <w:pPr>
        <w:widowControl w:val="0"/>
        <w:jc w:val="both"/>
        <w:rPr>
          <w:rFonts w:ascii="Arial" w:hAnsi="Arial" w:cs="Arial"/>
        </w:rPr>
      </w:pPr>
      <w:r>
        <w:rPr>
          <w:rFonts w:ascii="Arial" w:hAnsi="Arial" w:cs="Arial"/>
        </w:rPr>
        <w:t>(dále jen „</w:t>
      </w:r>
      <w:r>
        <w:rPr>
          <w:rFonts w:ascii="Arial" w:hAnsi="Arial" w:cs="Arial"/>
          <w:b/>
        </w:rPr>
        <w:t>Banka</w:t>
      </w:r>
      <w:r>
        <w:rPr>
          <w:rFonts w:ascii="Arial" w:hAnsi="Arial" w:cs="Arial"/>
        </w:rPr>
        <w:t>”)</w:t>
      </w:r>
    </w:p>
    <w:p w14:paraId="544FB6F5" w14:textId="77777777" w:rsidR="00714C04" w:rsidRDefault="00714C04" w:rsidP="00714C04">
      <w:pPr>
        <w:widowControl w:val="0"/>
        <w:tabs>
          <w:tab w:val="left" w:pos="1755"/>
        </w:tabs>
        <w:jc w:val="both"/>
        <w:rPr>
          <w:rFonts w:ascii="Arial" w:hAnsi="Arial" w:cs="Arial"/>
        </w:rPr>
      </w:pPr>
    </w:p>
    <w:p w14:paraId="112AA674" w14:textId="77777777" w:rsidR="00714C04" w:rsidRDefault="00714C04" w:rsidP="00714C04">
      <w:pPr>
        <w:widowControl w:val="0"/>
        <w:jc w:val="both"/>
        <w:rPr>
          <w:rFonts w:ascii="Arial" w:hAnsi="Arial" w:cs="Arial"/>
        </w:rPr>
      </w:pPr>
      <w:r>
        <w:rPr>
          <w:rFonts w:ascii="Arial" w:hAnsi="Arial" w:cs="Arial"/>
        </w:rPr>
        <w:t>a</w:t>
      </w:r>
    </w:p>
    <w:p w14:paraId="2C4074A0" w14:textId="77777777" w:rsidR="00714C04" w:rsidRDefault="00714C04" w:rsidP="00714C04">
      <w:pPr>
        <w:widowControl w:val="0"/>
        <w:jc w:val="both"/>
        <w:rPr>
          <w:rFonts w:ascii="Arial" w:hAnsi="Arial" w:cs="Arial"/>
        </w:rPr>
      </w:pPr>
    </w:p>
    <w:p w14:paraId="3FC6F8B7" w14:textId="77777777" w:rsidR="00714C04" w:rsidRDefault="00714C04" w:rsidP="00714C04">
      <w:pPr>
        <w:widowControl w:val="0"/>
        <w:jc w:val="both"/>
        <w:rPr>
          <w:rFonts w:ascii="Arial" w:hAnsi="Arial" w:cs="Arial"/>
          <w:b/>
        </w:rPr>
      </w:pPr>
      <w:r>
        <w:rPr>
          <w:rFonts w:ascii="Arial" w:hAnsi="Arial" w:cs="Arial"/>
          <w:b/>
        </w:rPr>
        <w:t>Domov se zvláštním režimem "MATYÁŠ" v Nejdku, příspěvková organizace,</w:t>
      </w:r>
    </w:p>
    <w:p w14:paraId="4F404F1C" w14:textId="77777777" w:rsidR="00714C04" w:rsidRDefault="00714C04" w:rsidP="00714C04">
      <w:pPr>
        <w:widowControl w:val="0"/>
        <w:jc w:val="both"/>
        <w:rPr>
          <w:rFonts w:ascii="Arial" w:hAnsi="Arial" w:cs="Arial"/>
        </w:rPr>
      </w:pPr>
      <w:r>
        <w:rPr>
          <w:rFonts w:ascii="Arial" w:hAnsi="Arial" w:cs="Arial"/>
        </w:rPr>
        <w:t>sídlem Nejdek, Mládežnická 1123, PSČ 362 21,</w:t>
      </w:r>
    </w:p>
    <w:p w14:paraId="7127BBB6" w14:textId="77777777" w:rsidR="00714C04" w:rsidRDefault="00714C04" w:rsidP="00714C04">
      <w:pPr>
        <w:widowControl w:val="0"/>
        <w:jc w:val="both"/>
        <w:rPr>
          <w:rFonts w:ascii="Arial" w:hAnsi="Arial" w:cs="Arial"/>
        </w:rPr>
      </w:pPr>
      <w:r>
        <w:rPr>
          <w:rFonts w:ascii="Arial" w:hAnsi="Arial" w:cs="Arial"/>
        </w:rPr>
        <w:t xml:space="preserve">IČO 71175229, zapsaná v obchodním rejstříku vedeném Krajským soudem v Plzni, oddíl </w:t>
      </w:r>
      <w:proofErr w:type="spellStart"/>
      <w:r>
        <w:rPr>
          <w:rFonts w:ascii="Arial" w:hAnsi="Arial" w:cs="Arial"/>
        </w:rPr>
        <w:t>Pr</w:t>
      </w:r>
      <w:proofErr w:type="spellEnd"/>
      <w:r>
        <w:rPr>
          <w:rFonts w:ascii="Arial" w:hAnsi="Arial" w:cs="Arial"/>
        </w:rPr>
        <w:t>, vložka 509,</w:t>
      </w:r>
    </w:p>
    <w:p w14:paraId="1C592D74" w14:textId="77777777" w:rsidR="00714C04" w:rsidRDefault="00714C04" w:rsidP="00714C04">
      <w:pPr>
        <w:widowControl w:val="0"/>
        <w:jc w:val="both"/>
        <w:rPr>
          <w:rFonts w:ascii="Arial" w:hAnsi="Arial" w:cs="Arial"/>
        </w:rPr>
      </w:pPr>
      <w:r>
        <w:rPr>
          <w:rFonts w:ascii="Arial" w:hAnsi="Arial" w:cs="Arial"/>
        </w:rPr>
        <w:t>zastoupená JUDr. Bc. Zuzanou Blažkovou, ředitelkou,</w:t>
      </w:r>
    </w:p>
    <w:p w14:paraId="24318A31" w14:textId="77777777" w:rsidR="00714C04" w:rsidRDefault="00714C04" w:rsidP="00714C04">
      <w:pPr>
        <w:widowControl w:val="0"/>
        <w:jc w:val="both"/>
        <w:rPr>
          <w:rFonts w:ascii="Arial" w:hAnsi="Arial" w:cs="Arial"/>
        </w:rPr>
      </w:pPr>
      <w:r>
        <w:rPr>
          <w:rFonts w:ascii="Arial" w:hAnsi="Arial" w:cs="Arial"/>
        </w:rPr>
        <w:t xml:space="preserve">na straně druhé jako úvěrovaný </w:t>
      </w:r>
    </w:p>
    <w:p w14:paraId="1B8F457B" w14:textId="77777777" w:rsidR="00714C04" w:rsidRDefault="00714C04" w:rsidP="00714C04">
      <w:pPr>
        <w:widowControl w:val="0"/>
        <w:jc w:val="both"/>
        <w:rPr>
          <w:rFonts w:ascii="Arial" w:hAnsi="Arial" w:cs="Arial"/>
        </w:rPr>
      </w:pPr>
      <w:r>
        <w:rPr>
          <w:rFonts w:ascii="Arial" w:hAnsi="Arial" w:cs="Arial"/>
        </w:rPr>
        <w:t>(dále jen „</w:t>
      </w:r>
      <w:r>
        <w:rPr>
          <w:rFonts w:ascii="Arial" w:hAnsi="Arial" w:cs="Arial"/>
          <w:b/>
        </w:rPr>
        <w:t>Klient</w:t>
      </w:r>
      <w:r>
        <w:rPr>
          <w:rFonts w:ascii="Arial" w:hAnsi="Arial" w:cs="Arial"/>
        </w:rPr>
        <w:t>”)</w:t>
      </w:r>
    </w:p>
    <w:p w14:paraId="626944B1" w14:textId="77777777" w:rsidR="00714C04" w:rsidRDefault="00714C04" w:rsidP="00714C04">
      <w:pPr>
        <w:widowControl w:val="0"/>
        <w:jc w:val="both"/>
        <w:rPr>
          <w:rFonts w:ascii="Arial" w:hAnsi="Arial" w:cs="Arial"/>
        </w:rPr>
      </w:pPr>
    </w:p>
    <w:p w14:paraId="7B7D1F4D" w14:textId="77777777" w:rsidR="00714C04" w:rsidRDefault="00714C04" w:rsidP="00714C04">
      <w:pPr>
        <w:widowControl w:val="0"/>
        <w:rPr>
          <w:rFonts w:ascii="Arial" w:hAnsi="Arial" w:cs="Arial"/>
        </w:rPr>
      </w:pPr>
    </w:p>
    <w:p w14:paraId="0A26C77C" w14:textId="77777777" w:rsidR="00714C04" w:rsidRDefault="00714C04" w:rsidP="00714C04">
      <w:pPr>
        <w:widowControl w:val="0"/>
        <w:jc w:val="center"/>
        <w:rPr>
          <w:rFonts w:ascii="Arial" w:hAnsi="Arial" w:cs="Arial"/>
        </w:rPr>
      </w:pPr>
    </w:p>
    <w:p w14:paraId="0CBF92ED" w14:textId="77777777" w:rsidR="00714C04" w:rsidRDefault="00714C04" w:rsidP="00714C04">
      <w:pPr>
        <w:widowControl w:val="0"/>
        <w:rPr>
          <w:rFonts w:ascii="Arial" w:hAnsi="Arial" w:cs="Arial"/>
        </w:rPr>
      </w:pPr>
      <w:r>
        <w:rPr>
          <w:rFonts w:ascii="Arial" w:hAnsi="Arial" w:cs="Arial"/>
        </w:rPr>
        <w:t xml:space="preserve">uzavírají ve smyslu ustanovení zákona č. 89/2012 Sb., občanského zákoníku, tuto </w:t>
      </w:r>
    </w:p>
    <w:p w14:paraId="2C744E63" w14:textId="77777777" w:rsidR="00714C04" w:rsidRDefault="00714C04" w:rsidP="00714C04">
      <w:pPr>
        <w:pStyle w:val="BodyText21"/>
        <w:widowControl w:val="0"/>
        <w:jc w:val="center"/>
        <w:rPr>
          <w:rFonts w:ascii="Arial" w:hAnsi="Arial" w:cs="Arial"/>
          <w:b/>
        </w:rPr>
      </w:pPr>
    </w:p>
    <w:p w14:paraId="04EFFFF7" w14:textId="77777777" w:rsidR="00714C04" w:rsidRDefault="00714C04" w:rsidP="00714C04">
      <w:pPr>
        <w:pStyle w:val="BodyText21"/>
        <w:widowControl w:val="0"/>
        <w:spacing w:after="60"/>
        <w:jc w:val="center"/>
        <w:rPr>
          <w:rFonts w:ascii="Arial" w:hAnsi="Arial" w:cs="Arial"/>
          <w:b/>
        </w:rPr>
      </w:pPr>
      <w:r>
        <w:rPr>
          <w:rFonts w:ascii="Arial" w:hAnsi="Arial" w:cs="Arial"/>
          <w:b/>
        </w:rPr>
        <w:t>SMLOUVU O ÚVĚRU</w:t>
      </w:r>
    </w:p>
    <w:p w14:paraId="063B4B99" w14:textId="77777777" w:rsidR="00714C04" w:rsidRDefault="00714C04" w:rsidP="00714C04">
      <w:pPr>
        <w:pStyle w:val="BodyText21"/>
        <w:widowControl w:val="0"/>
        <w:spacing w:before="60"/>
        <w:jc w:val="center"/>
        <w:rPr>
          <w:rFonts w:ascii="Arial" w:hAnsi="Arial" w:cs="Arial"/>
          <w:b/>
        </w:rPr>
      </w:pPr>
      <w:proofErr w:type="spellStart"/>
      <w:r>
        <w:rPr>
          <w:rFonts w:ascii="Arial" w:hAnsi="Arial" w:cs="Arial"/>
          <w:b/>
        </w:rPr>
        <w:t>reg.</w:t>
      </w:r>
      <w:proofErr w:type="spellEnd"/>
      <w:r>
        <w:rPr>
          <w:rFonts w:ascii="Arial" w:hAnsi="Arial" w:cs="Arial"/>
          <w:b/>
        </w:rPr>
        <w:t xml:space="preserve"> č. 624/21-120</w:t>
      </w:r>
    </w:p>
    <w:p w14:paraId="2BCFEE25" w14:textId="77777777" w:rsidR="00714C04" w:rsidRDefault="00714C04" w:rsidP="00714C04">
      <w:pPr>
        <w:pStyle w:val="BodyText23"/>
        <w:widowControl w:val="0"/>
        <w:jc w:val="center"/>
        <w:rPr>
          <w:rFonts w:ascii="Arial" w:hAnsi="Arial" w:cs="Arial"/>
          <w:b/>
        </w:rPr>
      </w:pPr>
    </w:p>
    <w:p w14:paraId="62EFD8CE" w14:textId="77777777" w:rsidR="00714C04" w:rsidRDefault="00714C04" w:rsidP="00714C04">
      <w:pPr>
        <w:pStyle w:val="BodyText23"/>
        <w:widowControl w:val="0"/>
        <w:jc w:val="center"/>
        <w:rPr>
          <w:rFonts w:ascii="Arial" w:hAnsi="Arial" w:cs="Arial"/>
          <w:b/>
        </w:rPr>
      </w:pPr>
    </w:p>
    <w:p w14:paraId="265D4F19" w14:textId="77777777" w:rsidR="00714C04" w:rsidRDefault="00714C04" w:rsidP="00714C04">
      <w:pPr>
        <w:pStyle w:val="Nadpis1"/>
        <w:keepNext w:val="0"/>
        <w:widowControl w:val="0"/>
        <w:spacing w:before="0"/>
        <w:rPr>
          <w:rFonts w:ascii="Arial" w:hAnsi="Arial" w:cs="Arial"/>
          <w:b w:val="0"/>
          <w:sz w:val="20"/>
          <w:lang w:val="cs-CZ"/>
        </w:rPr>
      </w:pPr>
      <w:r>
        <w:rPr>
          <w:rFonts w:ascii="Arial" w:hAnsi="Arial" w:cs="Arial"/>
          <w:sz w:val="20"/>
          <w:lang w:val="cs-CZ"/>
        </w:rPr>
        <w:t>I.</w:t>
      </w:r>
    </w:p>
    <w:p w14:paraId="64B03A03" w14:textId="77777777" w:rsidR="00714C04" w:rsidRDefault="00714C04" w:rsidP="00714C04">
      <w:pPr>
        <w:jc w:val="center"/>
        <w:rPr>
          <w:rFonts w:ascii="Arial" w:hAnsi="Arial" w:cs="Arial"/>
          <w:b/>
        </w:rPr>
      </w:pPr>
      <w:r>
        <w:rPr>
          <w:rFonts w:ascii="Arial" w:hAnsi="Arial" w:cs="Arial"/>
          <w:b/>
        </w:rPr>
        <w:t>Úvodní ustanovení</w:t>
      </w:r>
    </w:p>
    <w:p w14:paraId="57AE6D50" w14:textId="77777777" w:rsidR="00714C04" w:rsidRDefault="00714C04" w:rsidP="00714C04">
      <w:pPr>
        <w:rPr>
          <w:rFonts w:ascii="Arial" w:hAnsi="Arial" w:cs="Arial"/>
        </w:rPr>
      </w:pPr>
    </w:p>
    <w:p w14:paraId="59A4894D" w14:textId="77777777" w:rsidR="00714C04" w:rsidRDefault="00714C04" w:rsidP="00714C04">
      <w:pPr>
        <w:ind w:left="425" w:hanging="425"/>
        <w:jc w:val="both"/>
        <w:rPr>
          <w:rFonts w:ascii="Arial" w:hAnsi="Arial" w:cs="Arial"/>
        </w:rPr>
      </w:pPr>
      <w:r>
        <w:rPr>
          <w:rFonts w:ascii="Arial" w:hAnsi="Arial" w:cs="Arial"/>
        </w:rPr>
        <w:t>1.</w:t>
      </w:r>
      <w:r>
        <w:rPr>
          <w:rFonts w:ascii="Arial" w:hAnsi="Arial" w:cs="Arial"/>
        </w:rPr>
        <w:tab/>
        <w:t>Nedílnou součástí této smlouvy jsou Obecné obchodní podmínky UniCredit Bank Czech Republic and Slovakia, a.s. (dále jen „</w:t>
      </w:r>
      <w:r>
        <w:rPr>
          <w:rFonts w:ascii="Arial" w:hAnsi="Arial" w:cs="Arial"/>
          <w:b/>
        </w:rPr>
        <w:t>Obecné obchodní podmínky</w:t>
      </w:r>
      <w:r>
        <w:rPr>
          <w:rFonts w:ascii="Arial" w:hAnsi="Arial" w:cs="Arial"/>
        </w:rPr>
        <w:t xml:space="preserve">“), Produktové obchodní </w:t>
      </w:r>
      <w:proofErr w:type="gramStart"/>
      <w:r>
        <w:rPr>
          <w:rFonts w:ascii="Arial" w:hAnsi="Arial" w:cs="Arial"/>
        </w:rPr>
        <w:t>podmínky  UniCredit</w:t>
      </w:r>
      <w:proofErr w:type="gramEnd"/>
      <w:r>
        <w:rPr>
          <w:rFonts w:ascii="Arial" w:hAnsi="Arial" w:cs="Arial"/>
        </w:rPr>
        <w:t xml:space="preserve"> Bank Czech Republic and Slovakia, a.s. pro úvěry (dále jen „</w:t>
      </w:r>
      <w:r>
        <w:rPr>
          <w:rFonts w:ascii="Arial" w:hAnsi="Arial" w:cs="Arial"/>
          <w:b/>
        </w:rPr>
        <w:t>Produktové obchodní podmínky</w:t>
      </w:r>
      <w:r>
        <w:rPr>
          <w:rFonts w:ascii="Arial" w:hAnsi="Arial" w:cs="Arial"/>
        </w:rPr>
        <w:t>“) a Sazebník odměn za poskytování bankovních služeb UniCredit Bank Czech Republic and Slovakia, a.s. – část Firemní klientela (dále jen „</w:t>
      </w:r>
      <w:r>
        <w:rPr>
          <w:rFonts w:ascii="Arial" w:hAnsi="Arial" w:cs="Arial"/>
          <w:b/>
        </w:rPr>
        <w:t>Sazebník</w:t>
      </w:r>
      <w:r>
        <w:rPr>
          <w:rFonts w:ascii="Arial" w:hAnsi="Arial" w:cs="Arial"/>
        </w:rPr>
        <w:t xml:space="preserve">“). </w:t>
      </w:r>
    </w:p>
    <w:p w14:paraId="183436C0" w14:textId="77777777" w:rsidR="00714C04" w:rsidRDefault="00714C04" w:rsidP="00714C04">
      <w:pPr>
        <w:rPr>
          <w:rFonts w:ascii="Arial" w:hAnsi="Arial" w:cs="Arial"/>
        </w:rPr>
      </w:pPr>
    </w:p>
    <w:p w14:paraId="26252D2E" w14:textId="77777777" w:rsidR="00714C04" w:rsidRDefault="00714C04" w:rsidP="00714C04">
      <w:pPr>
        <w:ind w:left="425" w:hanging="425"/>
        <w:jc w:val="both"/>
        <w:rPr>
          <w:rFonts w:ascii="Arial" w:hAnsi="Arial" w:cs="Arial"/>
        </w:rPr>
      </w:pPr>
      <w:r>
        <w:rPr>
          <w:rFonts w:ascii="Arial" w:hAnsi="Arial" w:cs="Arial"/>
        </w:rPr>
        <w:t>2.</w:t>
      </w:r>
      <w:r>
        <w:rPr>
          <w:rFonts w:ascii="Arial" w:hAnsi="Arial" w:cs="Arial"/>
        </w:rPr>
        <w:tab/>
        <w:t>Klient si je tedy vědom, že vztahy vzniklé z této smlouvy nebo v souvislosti s ní, které nejsou touto smlouvou výslovně upraveny, se řídí Obecnými obchodními podmínkami a Produktovými obchodními podmínkami a že výše odměn, poplatků a dalších plateb, které je Klient povinen hradit v souvislosti s touto smlouvou, je stanovena v Sazebníku, není-li dohodnuto jinak.</w:t>
      </w:r>
    </w:p>
    <w:p w14:paraId="7B4317D9" w14:textId="77777777" w:rsidR="00714C04" w:rsidRDefault="00714C04" w:rsidP="00714C04">
      <w:pPr>
        <w:rPr>
          <w:rFonts w:ascii="Arial" w:hAnsi="Arial" w:cs="Arial"/>
        </w:rPr>
      </w:pPr>
    </w:p>
    <w:p w14:paraId="57F6CD60" w14:textId="77777777" w:rsidR="00714C04" w:rsidRDefault="00714C04" w:rsidP="00714C04">
      <w:pPr>
        <w:ind w:left="425" w:hanging="425"/>
        <w:jc w:val="both"/>
        <w:rPr>
          <w:rFonts w:ascii="Arial" w:hAnsi="Arial" w:cs="Arial"/>
        </w:rPr>
      </w:pPr>
      <w:r>
        <w:rPr>
          <w:rFonts w:ascii="Arial" w:hAnsi="Arial" w:cs="Arial"/>
        </w:rPr>
        <w:t>3.</w:t>
      </w:r>
      <w:r>
        <w:rPr>
          <w:rFonts w:ascii="Arial" w:hAnsi="Arial" w:cs="Arial"/>
        </w:rPr>
        <w:tab/>
        <w:t>Klient potvrzuje, že obdržel Obecné obchodní podmínky platné ke dni uzavření této smlouvy, Produktové obchodní podmínky platné ke dni uzavření této smlouvy a Sazebník platný ke dni uzavření této smlouvy a že s nimi souhlasí, zavazuje se je dodržovat a případně zabezpečit jejich dodržování jím zmocněnými osobami.</w:t>
      </w:r>
    </w:p>
    <w:p w14:paraId="3231CB4B" w14:textId="77777777" w:rsidR="00714C04" w:rsidRDefault="00714C04" w:rsidP="00714C04">
      <w:pPr>
        <w:rPr>
          <w:rFonts w:ascii="Arial" w:hAnsi="Arial" w:cs="Arial"/>
        </w:rPr>
      </w:pPr>
    </w:p>
    <w:p w14:paraId="3B50D9E8" w14:textId="77777777" w:rsidR="00714C04" w:rsidRDefault="00714C04" w:rsidP="00714C04">
      <w:pPr>
        <w:ind w:left="425" w:hanging="425"/>
        <w:jc w:val="both"/>
        <w:rPr>
          <w:rFonts w:ascii="Arial" w:hAnsi="Arial" w:cs="Arial"/>
        </w:rPr>
      </w:pPr>
      <w:r>
        <w:rPr>
          <w:rFonts w:ascii="Arial" w:hAnsi="Arial" w:cs="Arial"/>
        </w:rPr>
        <w:t>4.</w:t>
      </w:r>
      <w:r>
        <w:rPr>
          <w:rFonts w:ascii="Arial" w:hAnsi="Arial" w:cs="Arial"/>
        </w:rPr>
        <w:tab/>
        <w:t xml:space="preserve">Klient výslovně přijímá úpravu obsaženou v následujících </w:t>
      </w:r>
      <w:proofErr w:type="spellStart"/>
      <w:r>
        <w:rPr>
          <w:rFonts w:ascii="Arial" w:hAnsi="Arial" w:cs="Arial"/>
        </w:rPr>
        <w:t>ust</w:t>
      </w:r>
      <w:proofErr w:type="spellEnd"/>
      <w:r>
        <w:rPr>
          <w:rFonts w:ascii="Arial" w:hAnsi="Arial" w:cs="Arial"/>
        </w:rPr>
        <w:t xml:space="preserve">. Obecných obchodních podmínek: 1.1 – vztahy podřízené Obecným obchodním podmínkám, 2.2 – omezení rozsahu poskytovaných služeb, 6.3 – oprávnění Banky odmítnout požadavek Klienta, 7.2 – oprávnění Banky postoupit pohledávku nebo smlouvu na třetí osobu, 7.3 – zákaz postoupení Klientem,  7.6 – odstoupení od smlouvy a jeho důsledky, 9 – Úhrada pohledávek Banky, započtení a promlčení, 12.1 – omezení odpovědnosti Banky, 12.10 – omezení provozu Banky, 13.6 – doručení písemné zásilky a 14 – Rozhodné právo, soudní místo a subjekt mimosoudního řešení spotřebitelských sporů.  </w:t>
      </w:r>
    </w:p>
    <w:p w14:paraId="27C47512" w14:textId="77777777" w:rsidR="00714C04" w:rsidRDefault="00714C04" w:rsidP="00714C04">
      <w:pPr>
        <w:ind w:left="425" w:hanging="425"/>
        <w:rPr>
          <w:rFonts w:ascii="Arial" w:hAnsi="Arial" w:cs="Arial"/>
        </w:rPr>
      </w:pPr>
    </w:p>
    <w:p w14:paraId="36CBFA92" w14:textId="77777777" w:rsidR="00714C04" w:rsidRDefault="00714C04" w:rsidP="00714C04">
      <w:pPr>
        <w:ind w:left="425" w:hanging="425"/>
        <w:jc w:val="both"/>
        <w:rPr>
          <w:rFonts w:ascii="Arial" w:hAnsi="Arial" w:cs="Arial"/>
        </w:rPr>
      </w:pPr>
      <w:r>
        <w:rPr>
          <w:rFonts w:ascii="Arial" w:hAnsi="Arial" w:cs="Arial"/>
        </w:rPr>
        <w:t>5.</w:t>
      </w:r>
      <w:r>
        <w:rPr>
          <w:rFonts w:ascii="Arial" w:hAnsi="Arial" w:cs="Arial"/>
        </w:rPr>
        <w:tab/>
        <w:t xml:space="preserve">Klient výslovně přijímá úpravu obsaženou v následujících </w:t>
      </w:r>
      <w:proofErr w:type="spellStart"/>
      <w:r>
        <w:rPr>
          <w:rFonts w:ascii="Arial" w:hAnsi="Arial" w:cs="Arial"/>
        </w:rPr>
        <w:t>ust</w:t>
      </w:r>
      <w:proofErr w:type="spellEnd"/>
      <w:r>
        <w:rPr>
          <w:rFonts w:ascii="Arial" w:hAnsi="Arial" w:cs="Arial"/>
        </w:rPr>
        <w:t xml:space="preserve">. Produktových obchodních </w:t>
      </w:r>
      <w:proofErr w:type="gramStart"/>
      <w:r>
        <w:rPr>
          <w:rFonts w:ascii="Arial" w:hAnsi="Arial" w:cs="Arial"/>
        </w:rPr>
        <w:t>podmínek:,</w:t>
      </w:r>
      <w:proofErr w:type="gramEnd"/>
      <w:r>
        <w:rPr>
          <w:rFonts w:ascii="Arial" w:hAnsi="Arial" w:cs="Arial"/>
        </w:rPr>
        <w:t xml:space="preserve"> 5.9 – stanovení úrokové sazby z úvěru ve zvláštních případech, 6.2 – povinnost nevypovědět smlouvu o vedení účtu, , 8 – Některé další povinnosti Klienta a kontrola plnění podmínek úvěru, 9 – Závažné porušení smlouvy o úvěru a jiné závažné skutečnosti, 10 – Důsledky závažného porušení smlouvy o úvěru a jiných závažných skutečností, 11.1 – společný a nerozdílný závazek více osob a </w:t>
      </w:r>
    </w:p>
    <w:p w14:paraId="4A58945F" w14:textId="77777777" w:rsidR="00714C04" w:rsidRDefault="00714C04" w:rsidP="00714C04">
      <w:pPr>
        <w:ind w:left="425"/>
        <w:jc w:val="both"/>
      </w:pPr>
      <w:r>
        <w:rPr>
          <w:rFonts w:ascii="Arial" w:hAnsi="Arial" w:cs="Arial"/>
        </w:rPr>
        <w:t>11.3. – oprávnění Banky k ochraně její kapitálové přiměřenosti, likvidity nebo úvěrové angažovanosti ve znění změny ustanovení 11.3 Produktových obchodních podmínek uvedené v čl. XII této smlouvy.</w:t>
      </w:r>
    </w:p>
    <w:p w14:paraId="4340D87A" w14:textId="77777777" w:rsidR="00714C04" w:rsidRDefault="00714C04" w:rsidP="00714C04">
      <w:pPr>
        <w:ind w:left="425" w:hanging="425"/>
        <w:jc w:val="both"/>
        <w:rPr>
          <w:rFonts w:ascii="Arial" w:hAnsi="Arial" w:cs="Arial"/>
        </w:rPr>
      </w:pPr>
    </w:p>
    <w:p w14:paraId="29BDA39A" w14:textId="77777777" w:rsidR="00714C04" w:rsidRDefault="00714C04" w:rsidP="00714C04"/>
    <w:p w14:paraId="6B3A1845"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II.</w:t>
      </w:r>
    </w:p>
    <w:p w14:paraId="2EC1FA4A" w14:textId="77777777" w:rsidR="00714C04" w:rsidRDefault="00714C04" w:rsidP="00714C04">
      <w:pPr>
        <w:pStyle w:val="Nadpis1"/>
        <w:keepNext w:val="0"/>
        <w:widowControl w:val="0"/>
        <w:spacing w:before="0" w:after="0"/>
        <w:rPr>
          <w:rFonts w:ascii="Arial" w:hAnsi="Arial" w:cs="Arial"/>
          <w:b w:val="0"/>
          <w:sz w:val="20"/>
          <w:lang w:val="cs-CZ"/>
        </w:rPr>
      </w:pPr>
      <w:r>
        <w:rPr>
          <w:rFonts w:ascii="Arial" w:hAnsi="Arial" w:cs="Arial"/>
          <w:sz w:val="20"/>
          <w:lang w:val="cs-CZ"/>
        </w:rPr>
        <w:t>Forma a výše úvěru</w:t>
      </w:r>
    </w:p>
    <w:p w14:paraId="62ABC006" w14:textId="77777777" w:rsidR="00714C04" w:rsidRDefault="00714C04" w:rsidP="00714C04">
      <w:pPr>
        <w:widowControl w:val="0"/>
        <w:jc w:val="center"/>
        <w:rPr>
          <w:rFonts w:ascii="Arial" w:hAnsi="Arial" w:cs="Arial"/>
          <w:b/>
        </w:rPr>
      </w:pPr>
    </w:p>
    <w:p w14:paraId="71F28988" w14:textId="77777777" w:rsidR="00714C04" w:rsidRDefault="00714C04" w:rsidP="00714C04">
      <w:pPr>
        <w:widowControl w:val="0"/>
        <w:ind w:left="425" w:hanging="425"/>
        <w:jc w:val="both"/>
        <w:rPr>
          <w:rFonts w:ascii="Arial" w:hAnsi="Arial" w:cs="Arial"/>
        </w:rPr>
      </w:pPr>
      <w:r>
        <w:rPr>
          <w:rFonts w:ascii="Arial" w:hAnsi="Arial" w:cs="Arial"/>
        </w:rPr>
        <w:t>1.</w:t>
      </w:r>
      <w:r>
        <w:rPr>
          <w:rFonts w:ascii="Arial" w:hAnsi="Arial" w:cs="Arial"/>
        </w:rPr>
        <w:tab/>
        <w:t xml:space="preserve">Na základě podmínek uvedených v této smlouvě se Banka zavazuje poskytnout Klientovi </w:t>
      </w:r>
      <w:r>
        <w:rPr>
          <w:rFonts w:ascii="Arial" w:hAnsi="Arial" w:cs="Arial"/>
          <w:b/>
        </w:rPr>
        <w:t xml:space="preserve">účelově určený úvěr v maximální výši </w:t>
      </w:r>
      <w:proofErr w:type="gramStart"/>
      <w:r>
        <w:rPr>
          <w:rFonts w:ascii="Arial" w:hAnsi="Arial" w:cs="Arial"/>
          <w:b/>
        </w:rPr>
        <w:t>320.000.000,-</w:t>
      </w:r>
      <w:proofErr w:type="gramEnd"/>
      <w:r>
        <w:rPr>
          <w:rFonts w:ascii="Arial" w:hAnsi="Arial" w:cs="Arial"/>
        </w:rPr>
        <w:t xml:space="preserve"> </w:t>
      </w:r>
      <w:r>
        <w:rPr>
          <w:rFonts w:ascii="Arial" w:hAnsi="Arial" w:cs="Arial"/>
          <w:b/>
        </w:rPr>
        <w:t xml:space="preserve">CZK </w:t>
      </w:r>
      <w:r>
        <w:rPr>
          <w:rFonts w:ascii="Arial" w:hAnsi="Arial" w:cs="Arial"/>
        </w:rPr>
        <w:t xml:space="preserve">(slovy: </w:t>
      </w:r>
      <w:proofErr w:type="spellStart"/>
      <w:r>
        <w:rPr>
          <w:rFonts w:ascii="Arial" w:hAnsi="Arial" w:cs="Arial"/>
        </w:rPr>
        <w:t>třistadvacetmilionů</w:t>
      </w:r>
      <w:proofErr w:type="spellEnd"/>
      <w:r>
        <w:rPr>
          <w:rFonts w:ascii="Arial" w:hAnsi="Arial" w:cs="Arial"/>
        </w:rPr>
        <w:t xml:space="preserve"> korun českých) (dále jen „</w:t>
      </w:r>
      <w:r>
        <w:rPr>
          <w:rFonts w:ascii="Arial" w:hAnsi="Arial" w:cs="Arial"/>
          <w:b/>
        </w:rPr>
        <w:t>úvěr</w:t>
      </w:r>
      <w:r>
        <w:rPr>
          <w:rFonts w:ascii="Arial" w:hAnsi="Arial" w:cs="Arial"/>
        </w:rPr>
        <w:t>“ nebo „</w:t>
      </w:r>
      <w:r>
        <w:rPr>
          <w:rFonts w:ascii="Arial" w:hAnsi="Arial" w:cs="Arial"/>
          <w:b/>
        </w:rPr>
        <w:t>úvěrová částka</w:t>
      </w:r>
      <w:r>
        <w:rPr>
          <w:rFonts w:ascii="Arial" w:hAnsi="Arial" w:cs="Arial"/>
        </w:rPr>
        <w:t>“).</w:t>
      </w:r>
    </w:p>
    <w:p w14:paraId="00932111" w14:textId="77777777" w:rsidR="00714C04" w:rsidRDefault="00714C04" w:rsidP="00714C04">
      <w:pPr>
        <w:pStyle w:val="Nadpis1"/>
        <w:keepNext w:val="0"/>
        <w:widowControl w:val="0"/>
        <w:spacing w:before="0" w:after="0"/>
        <w:rPr>
          <w:rFonts w:ascii="Arial" w:hAnsi="Arial" w:cs="Arial"/>
          <w:sz w:val="20"/>
          <w:lang w:val="cs-CZ"/>
        </w:rPr>
      </w:pPr>
    </w:p>
    <w:p w14:paraId="276849FE"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III.</w:t>
      </w:r>
    </w:p>
    <w:p w14:paraId="66EB4D52"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Účel úvěru</w:t>
      </w:r>
    </w:p>
    <w:p w14:paraId="6C022308" w14:textId="77777777" w:rsidR="00714C04" w:rsidRDefault="00714C04" w:rsidP="00714C04">
      <w:pPr>
        <w:pStyle w:val="BodyTextIndent31"/>
        <w:widowControl w:val="0"/>
        <w:ind w:left="425" w:hanging="425"/>
        <w:jc w:val="center"/>
        <w:rPr>
          <w:rFonts w:ascii="Arial" w:hAnsi="Arial" w:cs="Arial"/>
          <w:lang w:val="cs-CZ"/>
        </w:rPr>
      </w:pPr>
    </w:p>
    <w:p w14:paraId="2906E324" w14:textId="77777777" w:rsidR="00714C04" w:rsidRDefault="00714C04" w:rsidP="00714C04">
      <w:pPr>
        <w:widowControl w:val="0"/>
        <w:ind w:left="425" w:hanging="425"/>
        <w:jc w:val="both"/>
        <w:rPr>
          <w:rFonts w:ascii="Arial" w:eastAsiaTheme="minorHAnsi" w:hAnsi="Arial" w:cs="Arial"/>
          <w:lang w:eastAsia="en-US"/>
        </w:rPr>
      </w:pPr>
      <w:r>
        <w:rPr>
          <w:rFonts w:ascii="Arial" w:eastAsiaTheme="minorHAnsi" w:hAnsi="Arial" w:cs="Arial"/>
          <w:lang w:eastAsia="en-US"/>
        </w:rPr>
        <w:t>1.</w:t>
      </w:r>
      <w:r>
        <w:rPr>
          <w:rFonts w:ascii="Arial" w:eastAsiaTheme="minorHAnsi" w:hAnsi="Arial" w:cs="Arial"/>
          <w:lang w:eastAsia="en-US"/>
        </w:rPr>
        <w:tab/>
        <w:t>Úvěr bude poskytnut na financování rekonstrukce (včetně DPH) a vybavení Domova se zvláštním režimem Matyáš v Nejdku (dále jen „</w:t>
      </w:r>
      <w:r>
        <w:rPr>
          <w:rFonts w:ascii="Arial" w:eastAsiaTheme="minorHAnsi" w:hAnsi="Arial" w:cs="Arial"/>
          <w:b/>
          <w:lang w:eastAsia="en-US"/>
        </w:rPr>
        <w:t>předmět financování</w:t>
      </w:r>
      <w:r>
        <w:rPr>
          <w:rFonts w:ascii="Arial" w:eastAsiaTheme="minorHAnsi" w:hAnsi="Arial" w:cs="Arial"/>
          <w:lang w:eastAsia="en-US"/>
        </w:rPr>
        <w:t>“).</w:t>
      </w:r>
    </w:p>
    <w:p w14:paraId="0844B206" w14:textId="77777777" w:rsidR="00714C04" w:rsidRDefault="00714C04" w:rsidP="00714C04">
      <w:pPr>
        <w:pStyle w:val="Nadpis1"/>
        <w:keepNext w:val="0"/>
        <w:widowControl w:val="0"/>
        <w:spacing w:before="0" w:after="0"/>
        <w:rPr>
          <w:rFonts w:ascii="Arial" w:hAnsi="Arial" w:cs="Arial"/>
          <w:sz w:val="20"/>
          <w:lang w:val="cs-CZ"/>
        </w:rPr>
      </w:pPr>
    </w:p>
    <w:p w14:paraId="4E6E50C4"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IV.</w:t>
      </w:r>
    </w:p>
    <w:p w14:paraId="791D5F11"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Čerpání úvěru</w:t>
      </w:r>
    </w:p>
    <w:p w14:paraId="76D516A5" w14:textId="77777777" w:rsidR="00714C04" w:rsidRDefault="00714C04" w:rsidP="00714C04">
      <w:pPr>
        <w:pStyle w:val="BodyText21"/>
        <w:widowControl w:val="0"/>
        <w:rPr>
          <w:rFonts w:ascii="Arial" w:hAnsi="Arial" w:cs="Arial"/>
        </w:rPr>
      </w:pPr>
    </w:p>
    <w:p w14:paraId="67D2A15D" w14:textId="77777777" w:rsidR="00714C04" w:rsidRDefault="00714C04" w:rsidP="00714C04">
      <w:pPr>
        <w:widowControl w:val="0"/>
        <w:numPr>
          <w:ilvl w:val="12"/>
          <w:numId w:val="0"/>
        </w:numPr>
        <w:ind w:left="426" w:hanging="426"/>
        <w:jc w:val="both"/>
        <w:rPr>
          <w:rFonts w:ascii="Arial" w:hAnsi="Arial" w:cs="Arial"/>
        </w:rPr>
      </w:pPr>
      <w:r>
        <w:rPr>
          <w:rFonts w:ascii="Arial" w:hAnsi="Arial" w:cs="Arial"/>
        </w:rPr>
        <w:t>1.</w:t>
      </w:r>
      <w:r>
        <w:rPr>
          <w:rFonts w:ascii="Arial" w:hAnsi="Arial" w:cs="Arial"/>
        </w:rPr>
        <w:tab/>
      </w:r>
      <w:bookmarkStart w:id="0" w:name="_Hlk77851732"/>
      <w:r>
        <w:rPr>
          <w:rFonts w:ascii="Arial" w:hAnsi="Arial" w:cs="Arial"/>
        </w:rPr>
        <w:t xml:space="preserve">Úvěr může Klient čerpat </w:t>
      </w:r>
      <w:r>
        <w:rPr>
          <w:rFonts w:ascii="Arial" w:hAnsi="Arial" w:cs="Arial"/>
          <w:b/>
        </w:rPr>
        <w:t xml:space="preserve">postupně počínaje dnem 1. července 2022, nejpozději </w:t>
      </w:r>
      <w:r>
        <w:rPr>
          <w:rFonts w:ascii="Arial" w:hAnsi="Arial" w:cs="Arial"/>
        </w:rPr>
        <w:t xml:space="preserve">však </w:t>
      </w:r>
      <w:r>
        <w:rPr>
          <w:rFonts w:ascii="Arial" w:hAnsi="Arial" w:cs="Arial"/>
          <w:b/>
        </w:rPr>
        <w:t xml:space="preserve">do 31.12.2026 </w:t>
      </w:r>
      <w:r>
        <w:rPr>
          <w:rFonts w:ascii="Arial" w:hAnsi="Arial" w:cs="Arial"/>
        </w:rPr>
        <w:t>(dále také „</w:t>
      </w:r>
      <w:r>
        <w:rPr>
          <w:rFonts w:ascii="Arial" w:hAnsi="Arial" w:cs="Arial"/>
          <w:b/>
        </w:rPr>
        <w:t>den pro ukončení čerpání úvěru</w:t>
      </w:r>
      <w:r>
        <w:rPr>
          <w:rFonts w:ascii="Arial" w:hAnsi="Arial" w:cs="Arial"/>
        </w:rPr>
        <w:t>“)</w:t>
      </w:r>
      <w:bookmarkEnd w:id="0"/>
      <w:r>
        <w:rPr>
          <w:rFonts w:ascii="Arial" w:hAnsi="Arial" w:cs="Arial"/>
        </w:rPr>
        <w:t>; po tomto datu není možné úvěr čerpat.</w:t>
      </w:r>
    </w:p>
    <w:p w14:paraId="16855C82" w14:textId="77777777" w:rsidR="00714C04" w:rsidRDefault="00714C04" w:rsidP="00714C04">
      <w:pPr>
        <w:widowControl w:val="0"/>
        <w:numPr>
          <w:ilvl w:val="12"/>
          <w:numId w:val="0"/>
        </w:numPr>
        <w:ind w:left="414"/>
        <w:jc w:val="both"/>
        <w:rPr>
          <w:rFonts w:ascii="Arial" w:hAnsi="Arial" w:cs="Arial"/>
        </w:rPr>
      </w:pPr>
      <w:r>
        <w:rPr>
          <w:rFonts w:ascii="Arial" w:hAnsi="Arial" w:cs="Arial"/>
        </w:rPr>
        <w:t xml:space="preserve">Úvěr bude Bankou poskytován na běžný účet Klienta vedený u Banky v CZK, č. </w:t>
      </w:r>
      <w:proofErr w:type="spellStart"/>
      <w:r>
        <w:rPr>
          <w:rFonts w:ascii="Arial" w:hAnsi="Arial" w:cs="Arial"/>
        </w:rPr>
        <w:t>ú.</w:t>
      </w:r>
      <w:proofErr w:type="spellEnd"/>
      <w:r>
        <w:rPr>
          <w:rFonts w:ascii="Arial" w:hAnsi="Arial" w:cs="Arial"/>
        </w:rPr>
        <w:t xml:space="preserve"> 1387881205/2700, a to buď za účelem úhrady splatných dluhů Klienta vzniklých v souladu se sjednaným účelem úvěru nebo za účelem refinancování Klientem již proplacených faktur odpovídajících sjednanému účelu úvěru proti předložení dokladů o jejich zaplacení nebo formou přímé úhrady splatných dluhů Klienta v souladu se sjednaným účelem úvěru.</w:t>
      </w:r>
    </w:p>
    <w:p w14:paraId="153A9409" w14:textId="77777777" w:rsidR="00714C04" w:rsidRDefault="00714C04" w:rsidP="00714C04">
      <w:pPr>
        <w:widowControl w:val="0"/>
        <w:jc w:val="both"/>
        <w:rPr>
          <w:rFonts w:ascii="Arial" w:hAnsi="Arial" w:cs="Arial"/>
        </w:rPr>
      </w:pPr>
    </w:p>
    <w:p w14:paraId="034DE894" w14:textId="77777777" w:rsidR="00714C04" w:rsidRDefault="00714C04" w:rsidP="00714C04">
      <w:pPr>
        <w:widowControl w:val="0"/>
        <w:tabs>
          <w:tab w:val="left" w:pos="426"/>
        </w:tabs>
        <w:ind w:left="850" w:hanging="850"/>
        <w:jc w:val="both"/>
        <w:rPr>
          <w:rFonts w:ascii="Arial" w:hAnsi="Arial" w:cs="Arial"/>
        </w:rPr>
      </w:pPr>
      <w:r>
        <w:rPr>
          <w:rFonts w:ascii="Arial" w:hAnsi="Arial" w:cs="Arial"/>
        </w:rPr>
        <w:t>2.</w:t>
      </w:r>
      <w:r>
        <w:rPr>
          <w:rFonts w:ascii="Arial" w:hAnsi="Arial" w:cs="Arial"/>
        </w:rPr>
        <w:tab/>
        <w:t>a)</w:t>
      </w:r>
      <w:r>
        <w:rPr>
          <w:rFonts w:ascii="Arial" w:hAnsi="Arial" w:cs="Arial"/>
        </w:rPr>
        <w:tab/>
        <w:t xml:space="preserve">Výše jednotlivých čerpání činí </w:t>
      </w:r>
      <w:r>
        <w:rPr>
          <w:rFonts w:ascii="Arial" w:hAnsi="Arial" w:cs="Arial"/>
          <w:b/>
        </w:rPr>
        <w:t xml:space="preserve">nejméně </w:t>
      </w:r>
      <w:proofErr w:type="gramStart"/>
      <w:r>
        <w:rPr>
          <w:rFonts w:ascii="Arial" w:hAnsi="Arial" w:cs="Arial"/>
          <w:b/>
        </w:rPr>
        <w:t>300.000,-</w:t>
      </w:r>
      <w:proofErr w:type="gramEnd"/>
      <w:r>
        <w:rPr>
          <w:rFonts w:ascii="Arial" w:hAnsi="Arial" w:cs="Arial"/>
          <w:b/>
        </w:rPr>
        <w:t xml:space="preserve"> CZK </w:t>
      </w:r>
      <w:r>
        <w:rPr>
          <w:rFonts w:ascii="Arial" w:hAnsi="Arial" w:cs="Arial"/>
        </w:rPr>
        <w:t xml:space="preserve">(slovy: tři sta tisíc korun českých), přičemž maximální kumulativní výše čerpání na konci jednotlivých let bude činit: </w:t>
      </w:r>
    </w:p>
    <w:p w14:paraId="5EE017EE" w14:textId="77777777" w:rsidR="00714C04" w:rsidRDefault="00714C04" w:rsidP="00714C04">
      <w:pPr>
        <w:pStyle w:val="Odstavecseseznamem"/>
        <w:widowControl w:val="0"/>
        <w:numPr>
          <w:ilvl w:val="0"/>
          <w:numId w:val="16"/>
        </w:numPr>
        <w:tabs>
          <w:tab w:val="left" w:pos="426"/>
        </w:tabs>
        <w:ind w:left="1276" w:hanging="283"/>
        <w:jc w:val="both"/>
        <w:rPr>
          <w:rFonts w:ascii="Arial" w:hAnsi="Arial" w:cs="Arial"/>
        </w:rPr>
      </w:pPr>
      <w:r>
        <w:rPr>
          <w:rFonts w:ascii="Arial" w:hAnsi="Arial" w:cs="Arial"/>
        </w:rPr>
        <w:t xml:space="preserve">ke 31.12.2022 maximálně </w:t>
      </w:r>
      <w:proofErr w:type="gramStart"/>
      <w:r>
        <w:rPr>
          <w:rFonts w:ascii="Arial" w:hAnsi="Arial" w:cs="Arial"/>
        </w:rPr>
        <w:t>60.000.000,-</w:t>
      </w:r>
      <w:proofErr w:type="gramEnd"/>
      <w:r>
        <w:rPr>
          <w:rFonts w:ascii="Arial" w:hAnsi="Arial" w:cs="Arial"/>
        </w:rPr>
        <w:t xml:space="preserve"> CZK (slovy: šedesát milionů korun českých),</w:t>
      </w:r>
    </w:p>
    <w:p w14:paraId="5602FF12" w14:textId="77777777" w:rsidR="00714C04" w:rsidRDefault="00714C04" w:rsidP="00714C04">
      <w:pPr>
        <w:pStyle w:val="Odstavecseseznamem"/>
        <w:widowControl w:val="0"/>
        <w:numPr>
          <w:ilvl w:val="0"/>
          <w:numId w:val="16"/>
        </w:numPr>
        <w:tabs>
          <w:tab w:val="left" w:pos="426"/>
        </w:tabs>
        <w:ind w:left="1276" w:hanging="283"/>
        <w:jc w:val="both"/>
        <w:rPr>
          <w:rFonts w:ascii="Arial" w:hAnsi="Arial" w:cs="Arial"/>
        </w:rPr>
      </w:pPr>
      <w:r>
        <w:rPr>
          <w:rFonts w:ascii="Arial" w:hAnsi="Arial" w:cs="Arial"/>
        </w:rPr>
        <w:t xml:space="preserve">ke 31.12.2023 maximálně </w:t>
      </w:r>
      <w:proofErr w:type="gramStart"/>
      <w:r>
        <w:rPr>
          <w:rFonts w:ascii="Arial" w:hAnsi="Arial" w:cs="Arial"/>
        </w:rPr>
        <w:t>160.000.000,-</w:t>
      </w:r>
      <w:proofErr w:type="gramEnd"/>
      <w:r>
        <w:rPr>
          <w:rFonts w:ascii="Arial" w:hAnsi="Arial" w:cs="Arial"/>
        </w:rPr>
        <w:t xml:space="preserve"> CZK (slovy: jedno sto šedesát milionů korun českých),</w:t>
      </w:r>
    </w:p>
    <w:p w14:paraId="4C003ED0" w14:textId="77777777" w:rsidR="00714C04" w:rsidRDefault="00714C04" w:rsidP="00714C04">
      <w:pPr>
        <w:pStyle w:val="Odstavecseseznamem"/>
        <w:widowControl w:val="0"/>
        <w:numPr>
          <w:ilvl w:val="0"/>
          <w:numId w:val="16"/>
        </w:numPr>
        <w:tabs>
          <w:tab w:val="left" w:pos="426"/>
        </w:tabs>
        <w:ind w:left="1276" w:hanging="283"/>
        <w:jc w:val="both"/>
        <w:rPr>
          <w:rFonts w:ascii="Arial" w:hAnsi="Arial" w:cs="Arial"/>
        </w:rPr>
      </w:pPr>
      <w:r>
        <w:rPr>
          <w:rFonts w:ascii="Arial" w:hAnsi="Arial" w:cs="Arial"/>
        </w:rPr>
        <w:t xml:space="preserve">ke 31.12.2024 maximálně </w:t>
      </w:r>
      <w:proofErr w:type="gramStart"/>
      <w:r>
        <w:rPr>
          <w:rFonts w:ascii="Arial" w:hAnsi="Arial" w:cs="Arial"/>
        </w:rPr>
        <w:t>230.000.000,-</w:t>
      </w:r>
      <w:proofErr w:type="gramEnd"/>
      <w:r>
        <w:rPr>
          <w:rFonts w:ascii="Arial" w:hAnsi="Arial" w:cs="Arial"/>
        </w:rPr>
        <w:t xml:space="preserve"> CZK (slovy: dvě stě třicet milionů korun českých). </w:t>
      </w:r>
    </w:p>
    <w:p w14:paraId="40769345" w14:textId="77777777" w:rsidR="00714C04" w:rsidRDefault="00714C04" w:rsidP="00714C04">
      <w:pPr>
        <w:widowControl w:val="0"/>
        <w:spacing w:before="60"/>
        <w:ind w:left="850" w:hanging="425"/>
        <w:jc w:val="both"/>
        <w:rPr>
          <w:rFonts w:ascii="Arial" w:hAnsi="Arial" w:cs="Arial"/>
        </w:rPr>
      </w:pPr>
      <w:r>
        <w:rPr>
          <w:rFonts w:ascii="Arial" w:hAnsi="Arial" w:cs="Arial"/>
        </w:rPr>
        <w:t>b)</w:t>
      </w:r>
      <w:r>
        <w:rPr>
          <w:rFonts w:ascii="Arial" w:hAnsi="Arial" w:cs="Arial"/>
        </w:rPr>
        <w:tab/>
        <w:t>Úvěr bude čerpán postupně na základě písemné žádosti Klienta o čerpání, která bude Bance doručena poštou nejpozději 2 pracovní dny přede dnem požadovaného čerpání. Žádost bude obsahovat údaje o požadovaném datu, o požadované výši čerpání a způsobu čerpání (bankovní spojení). Zároveň s touto žádostí je Klient povinen předložit faktury nebo jiné dokumenty prokazující účel čerpání úvěru. Bez předložení průkazných dokumentů není Banka povinna čerpání úvěru umožnit.</w:t>
      </w:r>
    </w:p>
    <w:p w14:paraId="1FFC9283" w14:textId="77777777" w:rsidR="00714C04" w:rsidRDefault="00714C04" w:rsidP="00714C04">
      <w:pPr>
        <w:pStyle w:val="BodyTextIndent31"/>
        <w:widowControl w:val="0"/>
        <w:spacing w:before="60"/>
        <w:ind w:left="851" w:hanging="425"/>
        <w:rPr>
          <w:rFonts w:ascii="Arial" w:hAnsi="Arial" w:cs="Arial"/>
          <w:lang w:val="cs-CZ"/>
        </w:rPr>
      </w:pPr>
      <w:r>
        <w:rPr>
          <w:rFonts w:ascii="Arial" w:hAnsi="Arial" w:cs="Arial"/>
          <w:lang w:val="cs-CZ"/>
        </w:rPr>
        <w:t>c)</w:t>
      </w:r>
      <w:r>
        <w:rPr>
          <w:rFonts w:ascii="Arial" w:hAnsi="Arial" w:cs="Arial"/>
          <w:lang w:val="cs-CZ"/>
        </w:rPr>
        <w:tab/>
        <w:t xml:space="preserve">Žádost dle písm. b) tohoto odstavce je pro Klienta závazná. V případě, že Klient z jakéhokoli důvodu nevyčerpá úvěr podle této žádosti, není Banka oprávněna požadovat jakékoliv poplatky. </w:t>
      </w:r>
    </w:p>
    <w:p w14:paraId="378D7A44" w14:textId="77777777" w:rsidR="00714C04" w:rsidRDefault="00714C04" w:rsidP="00714C04">
      <w:pPr>
        <w:pStyle w:val="Nadpis1"/>
        <w:keepNext w:val="0"/>
        <w:widowControl w:val="0"/>
        <w:spacing w:before="0" w:after="0"/>
        <w:rPr>
          <w:rFonts w:ascii="Arial" w:hAnsi="Arial" w:cs="Arial"/>
          <w:sz w:val="20"/>
          <w:lang w:val="cs-CZ"/>
        </w:rPr>
      </w:pPr>
    </w:p>
    <w:p w14:paraId="499851E7"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V.</w:t>
      </w:r>
    </w:p>
    <w:p w14:paraId="738AE488"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Podmínky čerpání úvěru</w:t>
      </w:r>
    </w:p>
    <w:p w14:paraId="326E188A" w14:textId="77777777" w:rsidR="00714C04" w:rsidRDefault="00714C04" w:rsidP="00714C04">
      <w:pPr>
        <w:widowControl w:val="0"/>
        <w:rPr>
          <w:rFonts w:ascii="Arial" w:hAnsi="Arial" w:cs="Arial"/>
        </w:rPr>
      </w:pPr>
    </w:p>
    <w:p w14:paraId="44B02599" w14:textId="77777777" w:rsidR="00714C04" w:rsidRDefault="00714C04" w:rsidP="00714C04">
      <w:pPr>
        <w:widowControl w:val="0"/>
        <w:ind w:left="426" w:hanging="426"/>
        <w:rPr>
          <w:rFonts w:ascii="Arial" w:hAnsi="Arial" w:cs="Arial"/>
        </w:rPr>
      </w:pPr>
      <w:r>
        <w:rPr>
          <w:rFonts w:ascii="Arial" w:hAnsi="Arial" w:cs="Arial"/>
        </w:rPr>
        <w:t>1.</w:t>
      </w:r>
      <w:r>
        <w:rPr>
          <w:rFonts w:ascii="Arial" w:hAnsi="Arial" w:cs="Arial"/>
        </w:rPr>
        <w:tab/>
        <w:t>Klient je oprávněn čerpat úvěr nejdříve po splnění následujících podmínek pro čerpání úvěru, a to:</w:t>
      </w:r>
    </w:p>
    <w:p w14:paraId="349F32A7" w14:textId="77777777" w:rsidR="00714C04" w:rsidRDefault="00714C04" w:rsidP="00714C04">
      <w:pPr>
        <w:pStyle w:val="Odstavecseseznamem"/>
        <w:widowControl w:val="0"/>
        <w:spacing w:before="120"/>
        <w:ind w:left="709" w:hanging="284"/>
        <w:jc w:val="both"/>
        <w:rPr>
          <w:rFonts w:ascii="Arial" w:hAnsi="Arial" w:cs="Arial"/>
        </w:rPr>
      </w:pPr>
      <w:r>
        <w:rPr>
          <w:rFonts w:ascii="Arial" w:hAnsi="Arial" w:cs="Arial"/>
        </w:rPr>
        <w:t xml:space="preserve">- </w:t>
      </w:r>
      <w:r>
        <w:rPr>
          <w:rFonts w:ascii="Arial" w:hAnsi="Arial" w:cs="Arial"/>
        </w:rPr>
        <w:tab/>
        <w:t>předložení ručitelského prohlášení v souladu s čl. VIII odst. 1 písm. a) této smlouvy, včetně předložení dokladu o jeho účinnosti, a to formou potvrzení o jeho uveřejnění v Registru smluv zaslaného správcem registru do datové schránky Klienta.</w:t>
      </w:r>
    </w:p>
    <w:p w14:paraId="5A6702DD" w14:textId="77777777" w:rsidR="00714C04" w:rsidRDefault="00714C04" w:rsidP="00714C04">
      <w:pPr>
        <w:widowControl w:val="0"/>
        <w:spacing w:before="120"/>
        <w:ind w:left="709" w:hanging="284"/>
        <w:jc w:val="both"/>
        <w:rPr>
          <w:rFonts w:ascii="Arial" w:hAnsi="Arial" w:cs="Arial"/>
        </w:rPr>
      </w:pPr>
      <w:r>
        <w:rPr>
          <w:rFonts w:ascii="Arial" w:hAnsi="Arial" w:cs="Arial"/>
        </w:rPr>
        <w:t>-</w:t>
      </w:r>
      <w:r>
        <w:rPr>
          <w:rFonts w:ascii="Arial" w:hAnsi="Arial" w:cs="Arial"/>
        </w:rPr>
        <w:tab/>
        <w:t>předložení usnesení zastupitelstva Karlovarského kraje, na základě, kterého došlo k odsouhlasení poskytnutí ručitelského prohlášení dle čl. VIII odst. 1 písm. a) této smlouvy, přičemž toto usnesení zastupitelstva musí časově předcházet datu poskytnutí ručitelského prohlášení. Z usnesení zastupitelstva musí vyplývat, že byly zastupitelstvem schváleny podstatné náležitosti ručitelského prohlášení.</w:t>
      </w:r>
    </w:p>
    <w:p w14:paraId="3CE5BC17" w14:textId="77777777" w:rsidR="00714C04" w:rsidRDefault="00714C04" w:rsidP="00714C04">
      <w:pPr>
        <w:widowControl w:val="0"/>
        <w:spacing w:before="120"/>
        <w:ind w:left="709" w:hanging="284"/>
        <w:jc w:val="both"/>
        <w:rPr>
          <w:rFonts w:ascii="Arial" w:hAnsi="Arial" w:cs="Arial"/>
        </w:rPr>
      </w:pPr>
      <w:r>
        <w:rPr>
          <w:rFonts w:ascii="Arial" w:hAnsi="Arial" w:cs="Arial"/>
        </w:rPr>
        <w:t xml:space="preserve">- </w:t>
      </w:r>
      <w:r>
        <w:rPr>
          <w:rFonts w:ascii="Arial" w:hAnsi="Arial" w:cs="Arial"/>
        </w:rPr>
        <w:tab/>
        <w:t xml:space="preserve">prokázání účinnosti této smlouvy o úvěru ve smyslu čl. X odst. 6 této smlouvy. </w:t>
      </w:r>
    </w:p>
    <w:p w14:paraId="546D9618" w14:textId="77777777" w:rsidR="00714C04" w:rsidRDefault="00714C04" w:rsidP="00714C04">
      <w:pPr>
        <w:widowControl w:val="0"/>
        <w:spacing w:before="120"/>
        <w:ind w:left="709" w:hanging="284"/>
        <w:jc w:val="both"/>
        <w:rPr>
          <w:rFonts w:ascii="Arial" w:hAnsi="Arial" w:cs="Arial"/>
        </w:rPr>
      </w:pPr>
      <w:r>
        <w:rPr>
          <w:rFonts w:ascii="Arial" w:hAnsi="Arial" w:cs="Arial"/>
        </w:rPr>
        <w:t>-</w:t>
      </w:r>
      <w:r>
        <w:rPr>
          <w:rFonts w:ascii="Arial" w:hAnsi="Arial" w:cs="Arial"/>
        </w:rPr>
        <w:tab/>
        <w:t xml:space="preserve">předložení platně uzavřené smlouvy o dílo, kupní smlouvy či jiné smlouvy, ve znění akceptovatelném Bankou, vztahující se k předmětu financování, včetně dokladu o její účinnosti, a to formou potvrzení o uveřejnění smlouvy v registru smluv zaslaného správcem registru do datové schránky Klienta. </w:t>
      </w:r>
    </w:p>
    <w:p w14:paraId="0B240B76" w14:textId="77777777" w:rsidR="00714C04" w:rsidRDefault="00714C04" w:rsidP="00714C04">
      <w:pPr>
        <w:pStyle w:val="Nadpis1"/>
        <w:keepNext w:val="0"/>
        <w:widowControl w:val="0"/>
        <w:spacing w:before="0" w:after="0"/>
        <w:ind w:left="425" w:hanging="425"/>
        <w:jc w:val="both"/>
        <w:rPr>
          <w:rFonts w:ascii="Arial" w:hAnsi="Arial" w:cs="Arial"/>
          <w:b w:val="0"/>
          <w:kern w:val="0"/>
          <w:sz w:val="20"/>
          <w:lang w:val="cs-CZ"/>
        </w:rPr>
      </w:pPr>
    </w:p>
    <w:p w14:paraId="00D86132" w14:textId="77777777" w:rsidR="00714C04" w:rsidRDefault="00714C04" w:rsidP="00714C04">
      <w:pPr>
        <w:pStyle w:val="Nadpis1"/>
        <w:keepNext w:val="0"/>
        <w:widowControl w:val="0"/>
        <w:spacing w:before="0" w:after="0"/>
        <w:ind w:left="425" w:hanging="425"/>
        <w:jc w:val="both"/>
        <w:rPr>
          <w:rFonts w:ascii="Arial" w:hAnsi="Arial" w:cs="Arial"/>
          <w:b w:val="0"/>
          <w:kern w:val="0"/>
          <w:sz w:val="20"/>
          <w:lang w:val="cs-CZ"/>
        </w:rPr>
      </w:pPr>
      <w:r>
        <w:rPr>
          <w:rFonts w:ascii="Arial" w:hAnsi="Arial" w:cs="Arial"/>
          <w:b w:val="0"/>
          <w:kern w:val="0"/>
          <w:sz w:val="20"/>
          <w:lang w:val="cs-CZ"/>
        </w:rPr>
        <w:lastRenderedPageBreak/>
        <w:t>2.</w:t>
      </w:r>
      <w:r>
        <w:rPr>
          <w:rFonts w:ascii="Arial" w:hAnsi="Arial" w:cs="Arial"/>
          <w:b w:val="0"/>
          <w:kern w:val="0"/>
          <w:sz w:val="20"/>
          <w:lang w:val="cs-CZ"/>
        </w:rPr>
        <w:tab/>
        <w:t xml:space="preserve">Nesplní-li Klient podmínky stanovené v předchozím odstavci </w:t>
      </w:r>
      <w:r>
        <w:rPr>
          <w:rFonts w:ascii="Arial" w:hAnsi="Arial" w:cs="Arial"/>
          <w:b w:val="0"/>
          <w:sz w:val="20"/>
          <w:lang w:val="cs-CZ"/>
        </w:rPr>
        <w:t>řádně</w:t>
      </w:r>
      <w:r>
        <w:rPr>
          <w:rFonts w:ascii="Arial" w:hAnsi="Arial" w:cs="Arial"/>
          <w:b w:val="0"/>
          <w:kern w:val="0"/>
          <w:sz w:val="20"/>
          <w:lang w:val="cs-CZ"/>
        </w:rPr>
        <w:t>, není Banka povinna úvěrovou částku poskytnout.</w:t>
      </w:r>
    </w:p>
    <w:p w14:paraId="08157EE7" w14:textId="77777777" w:rsidR="00714C04" w:rsidRDefault="00714C04" w:rsidP="00714C04">
      <w:pPr>
        <w:pStyle w:val="Nadpis1"/>
        <w:keepNext w:val="0"/>
        <w:widowControl w:val="0"/>
        <w:spacing w:before="0" w:after="0"/>
        <w:rPr>
          <w:rFonts w:ascii="Arial" w:hAnsi="Arial" w:cs="Arial"/>
          <w:sz w:val="20"/>
          <w:lang w:val="cs-CZ"/>
        </w:rPr>
      </w:pPr>
    </w:p>
    <w:p w14:paraId="3BB21F30"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VI.</w:t>
      </w:r>
    </w:p>
    <w:p w14:paraId="3B634D6A"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Úrok z úvěru a další platby</w:t>
      </w:r>
    </w:p>
    <w:p w14:paraId="6B9DBCEA" w14:textId="77777777" w:rsidR="00714C04" w:rsidRDefault="00714C04" w:rsidP="00714C04">
      <w:pPr>
        <w:pStyle w:val="BodyText21"/>
        <w:widowControl w:val="0"/>
        <w:ind w:left="567" w:hanging="567"/>
        <w:rPr>
          <w:rFonts w:ascii="Arial" w:hAnsi="Arial" w:cs="Arial"/>
        </w:rPr>
      </w:pPr>
    </w:p>
    <w:p w14:paraId="1D653BF2" w14:textId="77777777" w:rsidR="00714C04" w:rsidRDefault="00714C04" w:rsidP="00714C04">
      <w:pPr>
        <w:ind w:left="426" w:hanging="426"/>
        <w:jc w:val="both"/>
        <w:rPr>
          <w:rFonts w:ascii="Arial" w:hAnsi="Arial" w:cs="Arial"/>
          <w:b/>
          <w:bCs/>
        </w:rPr>
      </w:pPr>
      <w:r>
        <w:rPr>
          <w:rFonts w:ascii="Arial" w:hAnsi="Arial" w:cs="Arial"/>
        </w:rPr>
        <w:t>1.</w:t>
      </w:r>
      <w:r>
        <w:rPr>
          <w:rFonts w:ascii="Arial" w:hAnsi="Arial" w:cs="Arial"/>
        </w:rPr>
        <w:tab/>
        <w:t xml:space="preserve">Smluvní strany sjednávají, že úvěr bude úročen </w:t>
      </w:r>
      <w:r>
        <w:rPr>
          <w:rFonts w:ascii="Arial" w:hAnsi="Arial" w:cs="Arial"/>
          <w:b/>
        </w:rPr>
        <w:t xml:space="preserve">úrokovou sazbou stanovenou jako součet sazby </w:t>
      </w:r>
      <w:proofErr w:type="gramStart"/>
      <w:r>
        <w:rPr>
          <w:rFonts w:ascii="Arial" w:hAnsi="Arial" w:cs="Arial"/>
          <w:b/>
        </w:rPr>
        <w:t>3-měsíční</w:t>
      </w:r>
      <w:proofErr w:type="gramEnd"/>
      <w:r>
        <w:rPr>
          <w:rFonts w:ascii="Arial" w:hAnsi="Arial" w:cs="Arial"/>
          <w:b/>
        </w:rPr>
        <w:t xml:space="preserve"> PRIBOR a přirážky 0,69 % p.a., </w:t>
      </w:r>
      <w:r>
        <w:rPr>
          <w:rFonts w:ascii="Arial" w:hAnsi="Arial" w:cs="Arial"/>
        </w:rPr>
        <w:t>přičemž délka periody činí 3 měsíce</w:t>
      </w:r>
      <w:r>
        <w:rPr>
          <w:rFonts w:ascii="Arial" w:hAnsi="Arial" w:cs="Arial"/>
          <w:bCs/>
        </w:rPr>
        <w:t>.   </w:t>
      </w:r>
      <w:r>
        <w:rPr>
          <w:rFonts w:ascii="Arial" w:hAnsi="Arial" w:cs="Arial"/>
          <w:b/>
          <w:bCs/>
        </w:rPr>
        <w:t> </w:t>
      </w:r>
    </w:p>
    <w:p w14:paraId="4FB96BC9" w14:textId="77777777" w:rsidR="00714C04" w:rsidRDefault="00714C04" w:rsidP="00714C04">
      <w:pPr>
        <w:widowControl w:val="0"/>
        <w:ind w:left="425"/>
        <w:jc w:val="both"/>
        <w:rPr>
          <w:rFonts w:ascii="Arial" w:hAnsi="Arial" w:cs="Arial"/>
        </w:rPr>
      </w:pPr>
      <w:r>
        <w:rPr>
          <w:rFonts w:ascii="Arial" w:hAnsi="Arial" w:cs="Arial"/>
        </w:rPr>
        <w:t>Úroky jsou splatné zpětně vždy k poslednímu dni každého úrokového období, tj. k poslednímu dni kalendářního čtvrtletí. Pokud však den splatnosti úroků připadne na jiný než pracovní den, je částka úroků odepsána z účtu Klienta v den určený podle pravidel uvedených v Produktových obchodních podmínkách s tím, že v tento den též skončí příslušné úrokové období.</w:t>
      </w:r>
    </w:p>
    <w:p w14:paraId="1768D2B1" w14:textId="77777777" w:rsidR="00714C04" w:rsidRDefault="00714C04" w:rsidP="00714C04">
      <w:pPr>
        <w:pStyle w:val="Odstavecseseznamem"/>
        <w:widowControl w:val="0"/>
        <w:ind w:left="425"/>
        <w:jc w:val="both"/>
        <w:rPr>
          <w:rFonts w:ascii="Arial" w:hAnsi="Arial" w:cs="Arial"/>
        </w:rPr>
      </w:pPr>
    </w:p>
    <w:p w14:paraId="2B678D85" w14:textId="77777777" w:rsidR="00714C04" w:rsidRDefault="00714C04" w:rsidP="00714C04">
      <w:pPr>
        <w:ind w:left="360" w:hanging="360"/>
        <w:jc w:val="both"/>
        <w:rPr>
          <w:rFonts w:ascii="Arial" w:hAnsi="Arial" w:cs="Arial"/>
        </w:rPr>
      </w:pPr>
      <w:r>
        <w:rPr>
          <w:rFonts w:ascii="Arial" w:hAnsi="Arial" w:cs="Arial"/>
        </w:rPr>
        <w:t>2.</w:t>
      </w:r>
      <w:r>
        <w:rPr>
          <w:rFonts w:ascii="Arial" w:hAnsi="Arial" w:cs="Arial"/>
        </w:rPr>
        <w:tab/>
        <w:t>Smluvní strany se dohodly, že Klient není na základě této smlouvy povinen hradit Bance žádné poplatky, provize či odměny, které nejsou výslovně sjednány v této smlouvě.</w:t>
      </w:r>
    </w:p>
    <w:p w14:paraId="3EACEA27" w14:textId="77777777" w:rsidR="00714C04" w:rsidRDefault="00714C04" w:rsidP="00714C04">
      <w:pPr>
        <w:pStyle w:val="Nadpis1"/>
        <w:keepNext w:val="0"/>
        <w:widowControl w:val="0"/>
        <w:spacing w:before="0" w:after="0"/>
        <w:rPr>
          <w:rFonts w:ascii="Arial" w:hAnsi="Arial" w:cs="Arial"/>
          <w:sz w:val="20"/>
          <w:lang w:val="cs-CZ"/>
        </w:rPr>
      </w:pPr>
    </w:p>
    <w:p w14:paraId="0A9FB4E9"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VII.</w:t>
      </w:r>
    </w:p>
    <w:p w14:paraId="2BEC00D9"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Splácení a splatnost úvěru,</w:t>
      </w:r>
    </w:p>
    <w:p w14:paraId="17E95323" w14:textId="77777777" w:rsidR="00714C04" w:rsidRDefault="00714C04" w:rsidP="00714C04">
      <w:pPr>
        <w:widowControl w:val="0"/>
        <w:jc w:val="center"/>
        <w:rPr>
          <w:rFonts w:ascii="Arial" w:hAnsi="Arial" w:cs="Arial"/>
          <w:b/>
          <w:kern w:val="28"/>
        </w:rPr>
      </w:pPr>
      <w:r>
        <w:rPr>
          <w:rFonts w:ascii="Arial" w:hAnsi="Arial" w:cs="Arial"/>
          <w:b/>
          <w:kern w:val="28"/>
        </w:rPr>
        <w:t>úhrada ostatních pohledávek Banky vzniklých dle této smlouvy</w:t>
      </w:r>
    </w:p>
    <w:p w14:paraId="6D271212" w14:textId="77777777" w:rsidR="00714C04" w:rsidRDefault="00714C04" w:rsidP="00714C04">
      <w:pPr>
        <w:pStyle w:val="Nadpis3"/>
        <w:keepNext w:val="0"/>
        <w:widowControl w:val="0"/>
        <w:rPr>
          <w:rFonts w:ascii="Arial" w:hAnsi="Arial" w:cs="Arial"/>
          <w:b w:val="0"/>
          <w:i w:val="0"/>
          <w:color w:val="auto"/>
        </w:rPr>
      </w:pPr>
    </w:p>
    <w:p w14:paraId="0EED2AC3" w14:textId="77777777" w:rsidR="00714C04" w:rsidRDefault="00714C04" w:rsidP="00714C04">
      <w:pPr>
        <w:widowControl w:val="0"/>
        <w:ind w:left="425" w:hanging="425"/>
        <w:jc w:val="both"/>
        <w:rPr>
          <w:rFonts w:ascii="Arial" w:hAnsi="Arial" w:cs="Arial"/>
        </w:rPr>
      </w:pPr>
      <w:r>
        <w:rPr>
          <w:rFonts w:ascii="Arial" w:hAnsi="Arial" w:cs="Arial"/>
        </w:rPr>
        <w:t>1.</w:t>
      </w:r>
      <w:r>
        <w:rPr>
          <w:rFonts w:ascii="Arial" w:hAnsi="Arial" w:cs="Arial"/>
        </w:rPr>
        <w:tab/>
        <w:t xml:space="preserve">Klient se zavazuje úvěr splácet </w:t>
      </w:r>
      <w:r>
        <w:rPr>
          <w:rFonts w:ascii="Arial" w:hAnsi="Arial" w:cs="Arial"/>
          <w:b/>
        </w:rPr>
        <w:t xml:space="preserve">počínaje dnem 30.9.2027 v 15 splátkách, </w:t>
      </w:r>
      <w:r>
        <w:rPr>
          <w:rFonts w:ascii="Arial" w:hAnsi="Arial" w:cs="Arial"/>
        </w:rPr>
        <w:t>a to</w:t>
      </w:r>
      <w:r>
        <w:rPr>
          <w:rFonts w:ascii="Arial" w:hAnsi="Arial" w:cs="Arial"/>
          <w:b/>
        </w:rPr>
        <w:t xml:space="preserve"> v 14 pravidelných ročních splátkách ve výši 21.350.000,- CZK </w:t>
      </w:r>
      <w:r>
        <w:rPr>
          <w:rFonts w:ascii="Arial" w:hAnsi="Arial" w:cs="Arial"/>
        </w:rPr>
        <w:t xml:space="preserve">(slovy: dvacet jedna milionů </w:t>
      </w:r>
      <w:proofErr w:type="spellStart"/>
      <w:r>
        <w:rPr>
          <w:rFonts w:ascii="Arial" w:hAnsi="Arial" w:cs="Arial"/>
        </w:rPr>
        <w:t>třista</w:t>
      </w:r>
      <w:proofErr w:type="spellEnd"/>
      <w:r>
        <w:rPr>
          <w:rFonts w:ascii="Arial" w:hAnsi="Arial" w:cs="Arial"/>
        </w:rPr>
        <w:t xml:space="preserve"> padesát tisíc korun českých)</w:t>
      </w:r>
      <w:r>
        <w:rPr>
          <w:rFonts w:ascii="Arial" w:hAnsi="Arial" w:cs="Arial"/>
          <w:b/>
        </w:rPr>
        <w:t xml:space="preserve"> </w:t>
      </w:r>
      <w:r>
        <w:rPr>
          <w:rFonts w:ascii="Arial" w:hAnsi="Arial" w:cs="Arial"/>
        </w:rPr>
        <w:t xml:space="preserve">se splatností vždy k 30.9. </w:t>
      </w:r>
      <w:r>
        <w:rPr>
          <w:rFonts w:ascii="Arial" w:hAnsi="Arial" w:cs="Arial"/>
          <w:b/>
          <w:bCs/>
        </w:rPr>
        <w:t>P</w:t>
      </w:r>
      <w:r>
        <w:rPr>
          <w:rFonts w:ascii="Arial" w:hAnsi="Arial" w:cs="Arial"/>
          <w:b/>
        </w:rPr>
        <w:t xml:space="preserve">oslední splátka ve výši v té době zbývající části jistiny úvěru, tj. </w:t>
      </w:r>
      <w:proofErr w:type="gramStart"/>
      <w:r>
        <w:rPr>
          <w:rFonts w:ascii="Arial" w:hAnsi="Arial" w:cs="Arial"/>
          <w:b/>
        </w:rPr>
        <w:t>21.100.000,-</w:t>
      </w:r>
      <w:proofErr w:type="gramEnd"/>
      <w:r>
        <w:rPr>
          <w:rFonts w:ascii="Arial" w:hAnsi="Arial" w:cs="Arial"/>
          <w:b/>
        </w:rPr>
        <w:t xml:space="preserve"> CZK </w:t>
      </w:r>
      <w:r>
        <w:rPr>
          <w:rFonts w:ascii="Arial" w:hAnsi="Arial" w:cs="Arial"/>
        </w:rPr>
        <w:t>(slovy: dvacet jedna milionů jedno sto tisíc korun českých), je splatná</w:t>
      </w:r>
      <w:r>
        <w:rPr>
          <w:rFonts w:ascii="Arial" w:hAnsi="Arial" w:cs="Arial"/>
          <w:b/>
        </w:rPr>
        <w:t xml:space="preserve"> dne 30. září 2041.</w:t>
      </w:r>
    </w:p>
    <w:p w14:paraId="3B8E35CF" w14:textId="77777777" w:rsidR="00714C04" w:rsidRDefault="00714C04" w:rsidP="00714C04">
      <w:pPr>
        <w:widowControl w:val="0"/>
        <w:ind w:left="425" w:hanging="425"/>
        <w:jc w:val="both"/>
        <w:rPr>
          <w:rFonts w:ascii="Arial" w:hAnsi="Arial" w:cs="Arial"/>
        </w:rPr>
      </w:pPr>
    </w:p>
    <w:p w14:paraId="59B31E2A" w14:textId="77777777" w:rsidR="00714C04" w:rsidRDefault="00714C04" w:rsidP="00714C04">
      <w:pPr>
        <w:widowControl w:val="0"/>
        <w:ind w:left="425" w:hanging="425"/>
        <w:jc w:val="both"/>
        <w:rPr>
          <w:rFonts w:ascii="Arial" w:hAnsi="Arial" w:cs="Arial"/>
        </w:rPr>
      </w:pPr>
      <w:r>
        <w:rPr>
          <w:rFonts w:ascii="Arial" w:hAnsi="Arial" w:cs="Arial"/>
        </w:rPr>
        <w:t>2.</w:t>
      </w:r>
      <w:r>
        <w:rPr>
          <w:rFonts w:ascii="Arial" w:hAnsi="Arial" w:cs="Arial"/>
        </w:rPr>
        <w:tab/>
        <w:t xml:space="preserve">Úhrada splátek, úroků, jakož i jiných částek splatných podle této smlouvy, bude realizována formou odepsání příslušných částek </w:t>
      </w:r>
      <w:r>
        <w:rPr>
          <w:rFonts w:ascii="Arial" w:hAnsi="Arial" w:cs="Arial"/>
          <w:b/>
        </w:rPr>
        <w:t>z běžného účtu Klienta č. 1387881205/2700,</w:t>
      </w:r>
      <w:r>
        <w:rPr>
          <w:rFonts w:ascii="Arial" w:hAnsi="Arial" w:cs="Arial"/>
        </w:rPr>
        <w:t xml:space="preserve"> vedeného Bankou v CZK.</w:t>
      </w:r>
    </w:p>
    <w:p w14:paraId="4799148A" w14:textId="77777777" w:rsidR="00714C04" w:rsidRDefault="00714C04" w:rsidP="00714C04">
      <w:pPr>
        <w:widowControl w:val="0"/>
        <w:ind w:left="425" w:hanging="425"/>
        <w:jc w:val="both"/>
        <w:rPr>
          <w:rFonts w:ascii="Arial" w:hAnsi="Arial" w:cs="Arial"/>
        </w:rPr>
      </w:pPr>
    </w:p>
    <w:p w14:paraId="56B5BF75" w14:textId="77777777" w:rsidR="00714C04" w:rsidRDefault="00714C04" w:rsidP="00714C04">
      <w:pPr>
        <w:widowControl w:val="0"/>
        <w:ind w:left="425" w:hanging="425"/>
        <w:jc w:val="both"/>
        <w:rPr>
          <w:rFonts w:ascii="Arial" w:hAnsi="Arial" w:cs="Arial"/>
        </w:rPr>
      </w:pPr>
      <w:r>
        <w:rPr>
          <w:rFonts w:ascii="Arial" w:hAnsi="Arial" w:cs="Arial"/>
        </w:rPr>
        <w:t>3.</w:t>
      </w:r>
      <w:r>
        <w:rPr>
          <w:rFonts w:ascii="Arial" w:hAnsi="Arial" w:cs="Arial"/>
        </w:rPr>
        <w:tab/>
        <w:t xml:space="preserve">V případě neuhrazení splatného dluhu založeného touto smlouvou je Banka oprávněna po dobu prodlení úročit dlužnou částku, s jejíž úhradou je Klient v prodlení, </w:t>
      </w:r>
      <w:r>
        <w:rPr>
          <w:rFonts w:ascii="Arial" w:hAnsi="Arial" w:cs="Arial"/>
          <w:b/>
        </w:rPr>
        <w:t>úroky z prodlení</w:t>
      </w:r>
      <w:r>
        <w:rPr>
          <w:rFonts w:ascii="Arial" w:hAnsi="Arial" w:cs="Arial"/>
        </w:rPr>
        <w:t xml:space="preserve"> stanovenými Obecnými obchodními podmínkami. </w:t>
      </w:r>
    </w:p>
    <w:p w14:paraId="157ED6BB" w14:textId="77777777" w:rsidR="00714C04" w:rsidRDefault="00714C04" w:rsidP="00714C04">
      <w:pPr>
        <w:widowControl w:val="0"/>
        <w:ind w:left="425" w:hanging="425"/>
        <w:jc w:val="both"/>
        <w:rPr>
          <w:rFonts w:ascii="Arial" w:hAnsi="Arial" w:cs="Arial"/>
        </w:rPr>
      </w:pPr>
    </w:p>
    <w:p w14:paraId="3E0074A3" w14:textId="77777777" w:rsidR="00714C04" w:rsidRDefault="00714C04" w:rsidP="00714C04">
      <w:pPr>
        <w:widowControl w:val="0"/>
        <w:ind w:left="425" w:hanging="425"/>
        <w:jc w:val="both"/>
        <w:rPr>
          <w:rFonts w:ascii="Arial" w:hAnsi="Arial" w:cs="Arial"/>
          <w:i/>
        </w:rPr>
      </w:pPr>
      <w:r>
        <w:rPr>
          <w:rFonts w:ascii="Arial" w:hAnsi="Arial" w:cs="Arial"/>
        </w:rPr>
        <w:t>4.</w:t>
      </w:r>
      <w:r>
        <w:rPr>
          <w:rFonts w:ascii="Arial" w:hAnsi="Arial" w:cs="Arial"/>
        </w:rPr>
        <w:tab/>
        <w:t xml:space="preserve">Klient může v souladu s Produktovými obchodními podmínkami zaplatit předčasnou splátku a Banka není oprávněna požadovat jakékoliv poplatky vztahující se k předčasné splátce. </w:t>
      </w:r>
    </w:p>
    <w:p w14:paraId="32876D9A" w14:textId="77777777" w:rsidR="00714C04" w:rsidRDefault="00714C04" w:rsidP="00714C04">
      <w:pPr>
        <w:pStyle w:val="Nadpis1"/>
        <w:keepNext w:val="0"/>
        <w:widowControl w:val="0"/>
        <w:spacing w:before="0" w:after="0"/>
        <w:rPr>
          <w:rFonts w:ascii="Arial" w:hAnsi="Arial" w:cs="Arial"/>
          <w:sz w:val="20"/>
          <w:lang w:val="cs-CZ"/>
        </w:rPr>
      </w:pPr>
    </w:p>
    <w:p w14:paraId="1084855D"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VIII.</w:t>
      </w:r>
    </w:p>
    <w:p w14:paraId="46FD0126"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Poskytnutí jistoty k zajištění splnění dluhů Klienta</w:t>
      </w:r>
    </w:p>
    <w:p w14:paraId="7321E9C4" w14:textId="77777777" w:rsidR="00714C04" w:rsidRDefault="00714C04" w:rsidP="00714C04">
      <w:pPr>
        <w:rPr>
          <w:rFonts w:ascii="Arial" w:hAnsi="Arial" w:cs="Arial"/>
        </w:rPr>
      </w:pPr>
    </w:p>
    <w:p w14:paraId="7711F1AC" w14:textId="77777777" w:rsidR="00714C04" w:rsidRDefault="00714C04" w:rsidP="00714C04">
      <w:pPr>
        <w:widowControl w:val="0"/>
        <w:ind w:left="426" w:hanging="426"/>
        <w:rPr>
          <w:rFonts w:ascii="Arial" w:hAnsi="Arial" w:cs="Arial"/>
        </w:rPr>
      </w:pPr>
      <w:r>
        <w:rPr>
          <w:rFonts w:ascii="Arial" w:hAnsi="Arial" w:cs="Arial"/>
        </w:rPr>
        <w:t>1.</w:t>
      </w:r>
      <w:r>
        <w:rPr>
          <w:rFonts w:ascii="Arial" w:hAnsi="Arial" w:cs="Arial"/>
        </w:rPr>
        <w:tab/>
        <w:t>Za dluhy Klienta musí být poskytnuta/y následující jistota/y:</w:t>
      </w:r>
    </w:p>
    <w:p w14:paraId="06713BDD" w14:textId="77777777" w:rsidR="00714C04" w:rsidRDefault="00714C04" w:rsidP="00714C04">
      <w:pPr>
        <w:widowControl w:val="0"/>
        <w:spacing w:before="120"/>
        <w:ind w:left="850" w:hanging="425"/>
        <w:jc w:val="both"/>
        <w:rPr>
          <w:rFonts w:ascii="Arial" w:hAnsi="Arial" w:cs="Arial"/>
        </w:rPr>
      </w:pPr>
      <w:r>
        <w:rPr>
          <w:rFonts w:ascii="Arial" w:hAnsi="Arial" w:cs="Arial"/>
        </w:rPr>
        <w:t>a)</w:t>
      </w:r>
      <w:r>
        <w:rPr>
          <w:rFonts w:ascii="Arial" w:hAnsi="Arial" w:cs="Arial"/>
        </w:rPr>
        <w:tab/>
      </w:r>
      <w:r>
        <w:rPr>
          <w:rFonts w:ascii="Arial" w:hAnsi="Arial" w:cs="Arial"/>
          <w:b/>
        </w:rPr>
        <w:t>ručitelské prohlášení</w:t>
      </w:r>
      <w:r>
        <w:rPr>
          <w:rFonts w:ascii="Arial" w:hAnsi="Arial" w:cs="Arial"/>
        </w:rPr>
        <w:t xml:space="preserve"> </w:t>
      </w:r>
      <w:r>
        <w:rPr>
          <w:rFonts w:ascii="Arial" w:hAnsi="Arial" w:cs="Arial"/>
          <w:b/>
        </w:rPr>
        <w:t xml:space="preserve">Karlovarského kraje, </w:t>
      </w:r>
      <w:r>
        <w:rPr>
          <w:rFonts w:ascii="Arial" w:hAnsi="Arial" w:cs="Arial"/>
        </w:rPr>
        <w:t xml:space="preserve">sídlem Karlovy Vary, Dvory, Závodní 353/88, IČO 70891168, ve formě a s obsahem odsouhlasenými Bankou, jehož obsahem bude závazek ručitele uhradit Bance její pohledávky za Klientem vyplývající z této smlouvy a některé další závazky, které Klient na základě této smlouvy převzal, resp. převezme, a to </w:t>
      </w:r>
      <w:r>
        <w:rPr>
          <w:rFonts w:ascii="Arial" w:hAnsi="Arial" w:cs="Arial"/>
          <w:b/>
        </w:rPr>
        <w:t xml:space="preserve">až do výše </w:t>
      </w:r>
      <w:proofErr w:type="gramStart"/>
      <w:r>
        <w:rPr>
          <w:rFonts w:ascii="Arial" w:hAnsi="Arial" w:cs="Arial"/>
          <w:b/>
        </w:rPr>
        <w:t>320.000.000,-</w:t>
      </w:r>
      <w:proofErr w:type="gramEnd"/>
      <w:r>
        <w:rPr>
          <w:rFonts w:ascii="Arial" w:hAnsi="Arial" w:cs="Arial"/>
        </w:rPr>
        <w:t xml:space="preserve"> </w:t>
      </w:r>
      <w:r>
        <w:rPr>
          <w:rFonts w:ascii="Arial" w:hAnsi="Arial" w:cs="Arial"/>
          <w:b/>
          <w:kern w:val="28"/>
        </w:rPr>
        <w:t xml:space="preserve">CZK </w:t>
      </w:r>
      <w:r>
        <w:rPr>
          <w:rFonts w:ascii="Arial" w:hAnsi="Arial" w:cs="Arial"/>
        </w:rPr>
        <w:t>(slovy tři sta dvacet milionů korun českých).</w:t>
      </w:r>
    </w:p>
    <w:p w14:paraId="411241CF" w14:textId="77777777" w:rsidR="00714C04" w:rsidRDefault="00714C04" w:rsidP="00714C04">
      <w:pPr>
        <w:widowControl w:val="0"/>
        <w:spacing w:before="60"/>
        <w:ind w:left="851"/>
        <w:jc w:val="both"/>
        <w:rPr>
          <w:rFonts w:ascii="Arial" w:hAnsi="Arial" w:cs="Arial"/>
          <w:b/>
        </w:rPr>
      </w:pPr>
      <w:r>
        <w:rPr>
          <w:rFonts w:ascii="Arial" w:hAnsi="Arial" w:cs="Arial"/>
        </w:rPr>
        <w:t>Ručitelské prohlášení musí být Bance předloženo nejpozději před prvním čerpáním úvěru.</w:t>
      </w:r>
    </w:p>
    <w:p w14:paraId="747388B3" w14:textId="77777777" w:rsidR="00714C04" w:rsidRDefault="00714C04" w:rsidP="00714C04"/>
    <w:p w14:paraId="0F502774"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IX.</w:t>
      </w:r>
    </w:p>
    <w:p w14:paraId="11063A53"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Prohlášení Klienta</w:t>
      </w:r>
    </w:p>
    <w:p w14:paraId="36F849EF" w14:textId="77777777" w:rsidR="00714C04" w:rsidRDefault="00714C04" w:rsidP="00714C04">
      <w:pPr>
        <w:pStyle w:val="BodyText25"/>
        <w:widowControl w:val="0"/>
        <w:tabs>
          <w:tab w:val="left" w:pos="720"/>
        </w:tabs>
        <w:rPr>
          <w:rFonts w:ascii="Arial" w:hAnsi="Arial" w:cs="Arial"/>
        </w:rPr>
      </w:pPr>
    </w:p>
    <w:p w14:paraId="6E39301C" w14:textId="77777777" w:rsidR="00714C04" w:rsidRDefault="00714C04" w:rsidP="00714C04">
      <w:pPr>
        <w:widowControl w:val="0"/>
        <w:ind w:left="426" w:hanging="426"/>
        <w:jc w:val="both"/>
        <w:rPr>
          <w:rFonts w:ascii="Arial" w:hAnsi="Arial" w:cs="Arial"/>
        </w:rPr>
      </w:pPr>
      <w:r>
        <w:rPr>
          <w:rFonts w:ascii="Arial" w:hAnsi="Arial" w:cs="Arial"/>
        </w:rPr>
        <w:t>1.</w:t>
      </w:r>
      <w:r>
        <w:rPr>
          <w:rFonts w:ascii="Arial" w:hAnsi="Arial" w:cs="Arial"/>
        </w:rPr>
        <w:tab/>
        <w:t xml:space="preserve">Klient prohlašuje, že veškeré listiny a jiné podklady jím předložené Bance v souvislosti s právním vztahem založeným touto smlouvou jsou úplné, pravdivé, platné, účinné a právně vymahatelné, a potvrzuje, že veškerá prohlášení učiněná vůči Bance jsou pravdivá, platná a účinná. </w:t>
      </w:r>
    </w:p>
    <w:p w14:paraId="22F79DA8" w14:textId="77777777" w:rsidR="00714C04" w:rsidRDefault="00714C04" w:rsidP="00714C04">
      <w:pPr>
        <w:pStyle w:val="BodyTextIndent22"/>
        <w:widowControl w:val="0"/>
        <w:ind w:left="425" w:hanging="425"/>
        <w:rPr>
          <w:rFonts w:ascii="Arial" w:hAnsi="Arial" w:cs="Arial"/>
        </w:rPr>
      </w:pPr>
    </w:p>
    <w:p w14:paraId="1067F6B3" w14:textId="77777777" w:rsidR="00714C04" w:rsidRDefault="00714C04" w:rsidP="00714C04">
      <w:pPr>
        <w:widowControl w:val="0"/>
        <w:ind w:left="426" w:hanging="426"/>
        <w:jc w:val="both"/>
        <w:rPr>
          <w:rFonts w:ascii="Arial" w:hAnsi="Arial" w:cs="Arial"/>
        </w:rPr>
      </w:pPr>
      <w:r>
        <w:rPr>
          <w:rFonts w:ascii="Arial" w:hAnsi="Arial" w:cs="Arial"/>
        </w:rPr>
        <w:t>2.</w:t>
      </w:r>
      <w:r>
        <w:rPr>
          <w:rFonts w:ascii="Arial" w:hAnsi="Arial" w:cs="Arial"/>
        </w:rPr>
        <w:tab/>
        <w:t>Klient dále prohlašuje, že:</w:t>
      </w:r>
    </w:p>
    <w:p w14:paraId="7F6FDB22" w14:textId="77777777" w:rsidR="00714C04" w:rsidRDefault="00714C04" w:rsidP="00714C04">
      <w:pPr>
        <w:widowControl w:val="0"/>
        <w:spacing w:before="60"/>
        <w:ind w:left="850" w:hanging="425"/>
        <w:jc w:val="both"/>
        <w:rPr>
          <w:rFonts w:ascii="Arial" w:hAnsi="Arial" w:cs="Arial"/>
        </w:rPr>
      </w:pPr>
      <w:r>
        <w:rPr>
          <w:rFonts w:ascii="Arial" w:hAnsi="Arial" w:cs="Arial"/>
        </w:rPr>
        <w:t>a)</w:t>
      </w:r>
      <w:r>
        <w:rPr>
          <w:rFonts w:ascii="Arial" w:hAnsi="Arial" w:cs="Arial"/>
        </w:rPr>
        <w:tab/>
        <w:t>uzavření této smlouvy a její plnění nezpůsobí porušení jakékoliv jeho povinnosti ani porušení majetkových či smluvních práv třetích osob;</w:t>
      </w:r>
    </w:p>
    <w:p w14:paraId="0136AAB4" w14:textId="77777777" w:rsidR="00714C04" w:rsidRDefault="00714C04" w:rsidP="00714C04">
      <w:pPr>
        <w:widowControl w:val="0"/>
        <w:spacing w:before="60"/>
        <w:ind w:left="850" w:hanging="425"/>
        <w:jc w:val="both"/>
        <w:rPr>
          <w:rFonts w:ascii="Arial" w:hAnsi="Arial" w:cs="Arial"/>
        </w:rPr>
      </w:pPr>
      <w:r>
        <w:rPr>
          <w:rFonts w:ascii="Arial" w:hAnsi="Arial" w:cs="Arial"/>
        </w:rPr>
        <w:t>b)</w:t>
      </w:r>
      <w:r>
        <w:rPr>
          <w:rFonts w:ascii="Arial" w:hAnsi="Arial" w:cs="Arial"/>
        </w:rPr>
        <w:tab/>
        <w:t xml:space="preserve">uzavření této smlouvy, učinění s ní souvisejících právních jednání a poskytnutí veškerých plnění </w:t>
      </w:r>
      <w:r>
        <w:rPr>
          <w:rFonts w:ascii="Arial" w:hAnsi="Arial" w:cs="Arial"/>
        </w:rPr>
        <w:lastRenderedPageBreak/>
        <w:t>bylo řádně schváleno všemi příslušnými orgány působícími v rámci podnikatelské a organizačně právní struktury Klienta a nevyžaduje ani nebude vyžadovat další souhlas či schválení, a to ani jakéhokoli vnějšího orgánu či subjektu;</w:t>
      </w:r>
    </w:p>
    <w:p w14:paraId="293F7EE7" w14:textId="77777777" w:rsidR="00714C04" w:rsidRDefault="00714C04" w:rsidP="00714C04">
      <w:pPr>
        <w:widowControl w:val="0"/>
        <w:spacing w:before="60"/>
        <w:ind w:left="850" w:hanging="425"/>
        <w:jc w:val="both"/>
        <w:rPr>
          <w:rFonts w:ascii="Arial" w:hAnsi="Arial" w:cs="Arial"/>
        </w:rPr>
      </w:pPr>
      <w:r>
        <w:rPr>
          <w:rFonts w:ascii="Arial" w:hAnsi="Arial" w:cs="Arial"/>
        </w:rPr>
        <w:t>c)</w:t>
      </w:r>
      <w:r>
        <w:rPr>
          <w:rFonts w:ascii="Arial" w:hAnsi="Arial" w:cs="Arial"/>
        </w:rPr>
        <w:tab/>
        <w:t>mu není známo, že by hrozilo či již bylo zahájeno jakékoli řízení vedené soudem, rozhodcem či jakýmkoli jiným orgánem proti jeho osobě či majetku, které by mohlo nepříznivým způsobem ovlivnit jeho schopnost či možnost řádně a včas plnit povinnosti vyplývající z této smlouvy nebo jeho celkovou majetkovou, resp. ekonomickou a podnikatelskou situaci;</w:t>
      </w:r>
    </w:p>
    <w:p w14:paraId="03F430A6" w14:textId="77777777" w:rsidR="00714C04" w:rsidRDefault="00714C04" w:rsidP="00714C04">
      <w:pPr>
        <w:widowControl w:val="0"/>
        <w:spacing w:before="60"/>
        <w:ind w:left="850" w:hanging="425"/>
        <w:jc w:val="both"/>
        <w:rPr>
          <w:rFonts w:ascii="Arial" w:hAnsi="Arial" w:cs="Arial"/>
        </w:rPr>
      </w:pPr>
      <w:r>
        <w:rPr>
          <w:rFonts w:ascii="Arial" w:hAnsi="Arial" w:cs="Arial"/>
        </w:rPr>
        <w:t>d)</w:t>
      </w:r>
      <w:r>
        <w:rPr>
          <w:rFonts w:ascii="Arial" w:hAnsi="Arial" w:cs="Arial"/>
        </w:rPr>
        <w:tab/>
        <w:t xml:space="preserve">všechny údaje o jeho osobě a majetkové, resp. ekonomické a podnikatelské situaci a ostatní informace, které sdělil Bance při projednávání a uzavření této smlouvy a při souvisejících právních jednáních, jsou pravdivé a úplné a představují ucelený přehled o celkové majetkové, resp. ekonomické a podnikatelské situaci Klienta a jeho schopnosti v budoucnu plnit dluhy; </w:t>
      </w:r>
    </w:p>
    <w:p w14:paraId="49FB0F48" w14:textId="77777777" w:rsidR="00714C04" w:rsidRDefault="00714C04" w:rsidP="00714C04">
      <w:pPr>
        <w:widowControl w:val="0"/>
        <w:spacing w:before="60"/>
        <w:ind w:left="850" w:hanging="425"/>
        <w:jc w:val="both"/>
        <w:rPr>
          <w:rFonts w:ascii="Arial" w:hAnsi="Arial" w:cs="Arial"/>
        </w:rPr>
      </w:pPr>
      <w:r>
        <w:rPr>
          <w:rFonts w:ascii="Arial" w:hAnsi="Arial" w:cs="Arial"/>
        </w:rPr>
        <w:t>e)</w:t>
      </w:r>
      <w:r>
        <w:rPr>
          <w:rFonts w:ascii="Arial" w:hAnsi="Arial" w:cs="Arial"/>
        </w:rPr>
        <w:tab/>
        <w:t>Banku seznámil se všemi svými dluhy, které vznikly nebo by reálně vzniknout mohly z jím poskytnutého zajištění nebo z jeho odpovědnosti za úhradu jeho vlastních dluhů či dluhů třetích osob.</w:t>
      </w:r>
    </w:p>
    <w:p w14:paraId="3F861D7A" w14:textId="77777777" w:rsidR="00714C04" w:rsidRDefault="00714C04" w:rsidP="00714C04">
      <w:pPr>
        <w:widowControl w:val="0"/>
        <w:ind w:left="851"/>
        <w:rPr>
          <w:rFonts w:ascii="Arial" w:hAnsi="Arial" w:cs="Arial"/>
        </w:rPr>
      </w:pPr>
    </w:p>
    <w:p w14:paraId="1725AB16" w14:textId="77777777" w:rsidR="00714C04" w:rsidRDefault="00714C04" w:rsidP="00714C04">
      <w:pPr>
        <w:widowControl w:val="0"/>
        <w:ind w:left="426" w:hanging="426"/>
        <w:jc w:val="both"/>
        <w:rPr>
          <w:rFonts w:ascii="Arial" w:hAnsi="Arial" w:cs="Arial"/>
        </w:rPr>
      </w:pPr>
      <w:r>
        <w:rPr>
          <w:rFonts w:ascii="Arial" w:hAnsi="Arial" w:cs="Arial"/>
        </w:rPr>
        <w:t>3.</w:t>
      </w:r>
      <w:r>
        <w:rPr>
          <w:rFonts w:ascii="Arial" w:hAnsi="Arial" w:cs="Arial"/>
        </w:rPr>
        <w:tab/>
        <w:t>Klient podpisem této smlouvy prohlašuje, že ke dni uzavření této smlouvy neexistuje žádný jeho dluh vůči třetí osobě, na který by Banku výslovně neupozornil a jehož uspokojení by mělo přednostní pořadí před nárokem Banky na uspokojení jejích pohledávek z této smlouvy nebo jehož zajištění by poskytovalo třetí osobě lepší pozici při uspokojení než zajištění poskytnuté Klientem Bance, a zavazuje se, že až do splnění svých dluhů vůči Bance z této smlouvy v plném rozsahu neumožní vznik takovéhoto svého dluhu vůči třetí osobě. Klient se uzavřením této smlouvy zároveň zavazuje, že žádným způsobem neumožní zvýhodnění jakéhokoli svého věřitele oproti Bance. Pro případ, že by se v budoucnu postavení Banky mezi věřiteli Klienta jakkoli zhoršilo, se Klient současně zavazuje poskytnout Bance další zajištění splnění svých dluhů z této smlouvy v rozsahu a způsobem stanovenými Bankou.</w:t>
      </w:r>
    </w:p>
    <w:p w14:paraId="1B2135B3" w14:textId="77777777" w:rsidR="00714C04" w:rsidRDefault="00714C04" w:rsidP="00714C04">
      <w:pPr>
        <w:widowControl w:val="0"/>
        <w:ind w:left="426" w:hanging="426"/>
        <w:jc w:val="both"/>
        <w:rPr>
          <w:rFonts w:ascii="Arial" w:hAnsi="Arial" w:cs="Arial"/>
        </w:rPr>
      </w:pPr>
    </w:p>
    <w:p w14:paraId="6415CB2C" w14:textId="77777777" w:rsidR="00714C04" w:rsidRDefault="00714C04" w:rsidP="00714C04">
      <w:pPr>
        <w:widowControl w:val="0"/>
        <w:ind w:left="425" w:hanging="425"/>
        <w:jc w:val="both"/>
        <w:rPr>
          <w:rFonts w:ascii="Arial" w:eastAsiaTheme="minorEastAsia" w:hAnsi="Arial" w:cs="Arial"/>
          <w:szCs w:val="24"/>
          <w:lang w:eastAsia="zh-CN"/>
        </w:rPr>
      </w:pPr>
      <w:r>
        <w:rPr>
          <w:rFonts w:ascii="Arial" w:eastAsiaTheme="minorEastAsia" w:hAnsi="Arial" w:cs="Arial"/>
          <w:szCs w:val="24"/>
          <w:lang w:eastAsia="zh-CN"/>
        </w:rPr>
        <w:t>4.</w:t>
      </w:r>
      <w:r>
        <w:rPr>
          <w:rFonts w:ascii="Arial" w:eastAsiaTheme="minorEastAsia" w:hAnsi="Arial" w:cs="Arial"/>
          <w:szCs w:val="24"/>
          <w:lang w:eastAsia="zh-CN"/>
        </w:rPr>
        <w:tab/>
        <w:t xml:space="preserve">Klient bere na vědomí, že Banka jakožto společnost začleněná do koncernu UniCredit Group zavedla interní postupy, jejichž cílem je zajistit z její strany dodržování ustanovení čl. 2358 italského občanského zákoníku, resp. dalších právních předpisů upravujících finanční asistenci. V té souvislosti Klient prohlašuje a zároveň se zavazuje, že prostředky z úvěru nepoužije k realizaci transakcí týkajících se akcií a/nebo jiných cenných papírů emitovaných Bankou či jinými společnostmi začleněnými do koncernu UniCredit Group, čímž by došlo k porušení výše uvedené právní úpravy. </w:t>
      </w:r>
    </w:p>
    <w:p w14:paraId="33204B33" w14:textId="77777777" w:rsidR="00714C04" w:rsidRDefault="00714C04" w:rsidP="00714C04">
      <w:pPr>
        <w:pStyle w:val="Nadpis1"/>
        <w:keepNext w:val="0"/>
        <w:widowControl w:val="0"/>
        <w:spacing w:before="0" w:after="0"/>
        <w:rPr>
          <w:rFonts w:ascii="Arial" w:hAnsi="Arial" w:cs="Arial"/>
          <w:sz w:val="20"/>
          <w:lang w:val="cs-CZ"/>
        </w:rPr>
      </w:pPr>
    </w:p>
    <w:p w14:paraId="78F1B2CC"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X.</w:t>
      </w:r>
    </w:p>
    <w:p w14:paraId="6B65430E"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Některé další povinnosti Klienta</w:t>
      </w:r>
    </w:p>
    <w:p w14:paraId="26CA4F2C" w14:textId="77777777" w:rsidR="00714C04" w:rsidRDefault="00714C04" w:rsidP="00714C04">
      <w:pPr>
        <w:widowControl w:val="0"/>
        <w:jc w:val="center"/>
        <w:rPr>
          <w:rFonts w:ascii="Arial" w:hAnsi="Arial" w:cs="Arial"/>
        </w:rPr>
      </w:pPr>
    </w:p>
    <w:p w14:paraId="3A4C11CB" w14:textId="77777777" w:rsidR="00714C04" w:rsidRDefault="00714C04" w:rsidP="00714C04">
      <w:pPr>
        <w:widowControl w:val="0"/>
        <w:ind w:left="426" w:hanging="426"/>
        <w:jc w:val="both"/>
        <w:rPr>
          <w:rFonts w:ascii="Arial" w:hAnsi="Arial" w:cs="Arial"/>
          <w:b/>
        </w:rPr>
      </w:pPr>
      <w:r>
        <w:rPr>
          <w:rFonts w:ascii="Arial" w:hAnsi="Arial" w:cs="Arial"/>
        </w:rPr>
        <w:t>1.</w:t>
      </w:r>
      <w:r>
        <w:rPr>
          <w:rFonts w:ascii="Arial" w:hAnsi="Arial" w:cs="Arial"/>
        </w:rPr>
        <w:tab/>
        <w:t xml:space="preserve">Klient se nad rámec povinností vyplývajících z ustanovení Produktových obchodních podmínek zavazuje bez zbytečného odkladu, pokud možno předem, </w:t>
      </w:r>
      <w:r>
        <w:rPr>
          <w:rFonts w:ascii="Arial" w:hAnsi="Arial" w:cs="Arial"/>
          <w:b/>
        </w:rPr>
        <w:t>informovat Banku o:</w:t>
      </w:r>
    </w:p>
    <w:p w14:paraId="1353652D" w14:textId="77777777" w:rsidR="00714C04" w:rsidRDefault="00714C04" w:rsidP="00714C04">
      <w:pPr>
        <w:widowControl w:val="0"/>
        <w:spacing w:before="60"/>
        <w:ind w:left="850" w:hanging="425"/>
        <w:jc w:val="both"/>
        <w:rPr>
          <w:rFonts w:ascii="Arial" w:hAnsi="Arial" w:cs="Arial"/>
        </w:rPr>
      </w:pPr>
      <w:r>
        <w:rPr>
          <w:rFonts w:ascii="Arial" w:hAnsi="Arial" w:cs="Arial"/>
        </w:rPr>
        <w:t>a)</w:t>
      </w:r>
      <w:r>
        <w:rPr>
          <w:rFonts w:ascii="Arial" w:hAnsi="Arial" w:cs="Arial"/>
        </w:rPr>
        <w:tab/>
        <w:t>uzavření leasingové, faktoringové či jiné smlouvy obdobného charakteru nebo skupiny takových smluv, pokud objem plnění, ke kterým se v nich Klient zavazuje, není z hlediska jeho aktiv zanedbatelný;</w:t>
      </w:r>
    </w:p>
    <w:p w14:paraId="015D2D51" w14:textId="77777777" w:rsidR="00714C04" w:rsidRDefault="00714C04" w:rsidP="00714C04">
      <w:pPr>
        <w:widowControl w:val="0"/>
        <w:spacing w:before="60"/>
        <w:ind w:left="851" w:hanging="425"/>
        <w:jc w:val="both"/>
        <w:rPr>
          <w:rFonts w:ascii="Arial" w:hAnsi="Arial" w:cs="Arial"/>
        </w:rPr>
      </w:pPr>
      <w:r>
        <w:rPr>
          <w:rFonts w:ascii="Arial" w:hAnsi="Arial" w:cs="Arial"/>
        </w:rPr>
        <w:t>b)</w:t>
      </w:r>
      <w:r>
        <w:rPr>
          <w:rFonts w:ascii="Arial" w:hAnsi="Arial" w:cs="Arial"/>
        </w:rPr>
        <w:tab/>
        <w:t>rozhodné změně týkající se osob, které poskytují jistotu k zajištění dluhů vyplývajících z této smlouvy;</w:t>
      </w:r>
    </w:p>
    <w:p w14:paraId="6EA03837" w14:textId="77777777" w:rsidR="00714C04" w:rsidRDefault="00714C04" w:rsidP="00714C04">
      <w:pPr>
        <w:widowControl w:val="0"/>
        <w:spacing w:before="60"/>
        <w:ind w:left="851" w:hanging="425"/>
        <w:jc w:val="both"/>
        <w:rPr>
          <w:rFonts w:ascii="Arial" w:hAnsi="Arial" w:cs="Arial"/>
        </w:rPr>
      </w:pPr>
      <w:r>
        <w:rPr>
          <w:rFonts w:ascii="Arial" w:hAnsi="Arial" w:cs="Arial"/>
        </w:rPr>
        <w:t>c)</w:t>
      </w:r>
      <w:r>
        <w:rPr>
          <w:rFonts w:ascii="Arial" w:hAnsi="Arial" w:cs="Arial"/>
        </w:rPr>
        <w:tab/>
        <w:t>jakékoli jiné skutečnosti, která by mohla negativním způsobem ovlivnit podnikání, rozsah a stav majetku nebo finanční, ekonomickou a podnikatelskou situaci Klienta či schopnost a možnost Klienta plnit dluhy z této smlouvy nebo která by jakýmkoli způsobem omezovala jeho oprávnění či možnosti podnikat či být jinak výdělečně činný, např. skutečnosti, která by mohla být důvodem k zahájení insolvenčního řízení, exekučního řízení či nařízení výkonu rozhodnutí proti Klientovi.</w:t>
      </w:r>
    </w:p>
    <w:p w14:paraId="1399943D" w14:textId="77777777" w:rsidR="00714C04" w:rsidRDefault="00714C04" w:rsidP="00714C04">
      <w:pPr>
        <w:widowControl w:val="0"/>
        <w:rPr>
          <w:rFonts w:ascii="Arial" w:hAnsi="Arial" w:cs="Arial"/>
        </w:rPr>
      </w:pPr>
    </w:p>
    <w:p w14:paraId="05D8A9BA" w14:textId="77777777" w:rsidR="00714C04" w:rsidRDefault="00714C04" w:rsidP="00714C04">
      <w:pPr>
        <w:ind w:left="426" w:hanging="426"/>
        <w:jc w:val="both"/>
        <w:rPr>
          <w:rFonts w:ascii="Arial" w:hAnsi="Arial" w:cs="Arial"/>
        </w:rPr>
      </w:pPr>
      <w:r>
        <w:rPr>
          <w:rFonts w:ascii="Arial" w:hAnsi="Arial" w:cs="Arial"/>
        </w:rPr>
        <w:t>2.</w:t>
      </w:r>
      <w:r>
        <w:rPr>
          <w:rFonts w:ascii="Arial" w:hAnsi="Arial" w:cs="Arial"/>
        </w:rPr>
        <w:tab/>
        <w:t>Klient není povinen provádět platební styk prostřednictvím svých účtů vedených u Banky. Veškeré splátky úroků a platby jiných částek splatných podle této smlouvy budou hrazeny v souladu s čl. VII odst. 2 této smlouvy.</w:t>
      </w:r>
    </w:p>
    <w:p w14:paraId="63F3F592" w14:textId="77777777" w:rsidR="00714C04" w:rsidRDefault="00714C04" w:rsidP="00714C04">
      <w:pPr>
        <w:widowControl w:val="0"/>
        <w:ind w:left="425" w:hanging="425"/>
        <w:rPr>
          <w:rFonts w:ascii="Arial" w:hAnsi="Arial" w:cs="Arial"/>
        </w:rPr>
      </w:pPr>
    </w:p>
    <w:p w14:paraId="2120DA4D" w14:textId="77777777" w:rsidR="00714C04" w:rsidRDefault="00714C04" w:rsidP="00714C04">
      <w:pPr>
        <w:widowControl w:val="0"/>
        <w:ind w:left="426" w:hanging="426"/>
        <w:jc w:val="both"/>
        <w:rPr>
          <w:rFonts w:ascii="Arial" w:hAnsi="Arial" w:cs="Arial"/>
          <w:snapToGrid w:val="0"/>
        </w:rPr>
      </w:pPr>
      <w:r>
        <w:rPr>
          <w:rFonts w:ascii="Arial" w:hAnsi="Arial" w:cs="Arial"/>
          <w:snapToGrid w:val="0"/>
        </w:rPr>
        <w:t>3.</w:t>
      </w:r>
      <w:r>
        <w:rPr>
          <w:rFonts w:ascii="Arial" w:hAnsi="Arial" w:cs="Arial"/>
          <w:snapToGrid w:val="0"/>
        </w:rPr>
        <w:tab/>
        <w:t xml:space="preserve">Klient je povinen Banku informovat o svých aktuálních příjmových a majetkových poměrech. Za tím účelem předloží Bance svou kompletní řádnou účetní závěrku, a to nejpozději do 6 měsíců po uplynutí posledního dne každého účetního období. Klient je dále povinen předložit Bance zprávu auditora, včetně příloh. V případě, že Klient nepodléhá auditu, zavazuje se předložit Bance účetní výkazy za uplynulé účetní období, a to spolu s prohlášením Klienta opatřeným jeho podpisem, že v tomto znění byly předány příslušnému finančnímu úřadu.   </w:t>
      </w:r>
    </w:p>
    <w:p w14:paraId="046383E8" w14:textId="77777777" w:rsidR="00714C04" w:rsidRDefault="00714C04" w:rsidP="00714C04">
      <w:pPr>
        <w:widowControl w:val="0"/>
        <w:ind w:left="426" w:hanging="426"/>
        <w:jc w:val="both"/>
        <w:rPr>
          <w:rFonts w:ascii="Arial" w:hAnsi="Arial" w:cs="Arial"/>
          <w:snapToGrid w:val="0"/>
        </w:rPr>
      </w:pPr>
      <w:r>
        <w:rPr>
          <w:rFonts w:ascii="Arial" w:hAnsi="Arial" w:cs="Arial"/>
          <w:snapToGrid w:val="0"/>
        </w:rPr>
        <w:t xml:space="preserve">        Klient na požádání Banky předloží též aktuální finanční plán dle požadavků Banky. </w:t>
      </w:r>
    </w:p>
    <w:p w14:paraId="78C81D24" w14:textId="77777777" w:rsidR="00714C04" w:rsidRDefault="00714C04" w:rsidP="00714C04">
      <w:pPr>
        <w:widowControl w:val="0"/>
        <w:ind w:left="426"/>
        <w:jc w:val="both"/>
        <w:rPr>
          <w:rFonts w:ascii="Arial" w:hAnsi="Arial" w:cs="Arial"/>
          <w:snapToGrid w:val="0"/>
        </w:rPr>
      </w:pPr>
      <w:r>
        <w:rPr>
          <w:rFonts w:ascii="Arial" w:hAnsi="Arial" w:cs="Arial"/>
          <w:snapToGrid w:val="0"/>
        </w:rPr>
        <w:lastRenderedPageBreak/>
        <w:t xml:space="preserve">Dále se Klient zavazuje předkládat Bance </w:t>
      </w:r>
      <w:r>
        <w:rPr>
          <w:rFonts w:ascii="Arial" w:hAnsi="Arial" w:cs="Arial"/>
          <w:b/>
          <w:snapToGrid w:val="0"/>
        </w:rPr>
        <w:t>čtvrtletně</w:t>
      </w:r>
      <w:r>
        <w:rPr>
          <w:rFonts w:ascii="Arial" w:hAnsi="Arial" w:cs="Arial"/>
          <w:snapToGrid w:val="0"/>
        </w:rPr>
        <w:t xml:space="preserve">, vždy do </w:t>
      </w:r>
      <w:r>
        <w:rPr>
          <w:rFonts w:ascii="Arial" w:hAnsi="Arial" w:cs="Arial"/>
        </w:rPr>
        <w:t>60</w:t>
      </w:r>
      <w:r>
        <w:rPr>
          <w:rFonts w:ascii="Arial" w:hAnsi="Arial" w:cs="Arial"/>
          <w:snapToGrid w:val="0"/>
        </w:rPr>
        <w:t xml:space="preserve"> dnů po uplynutí příslušného čtvrtletí, resp. kdykoli na požádání, </w:t>
      </w:r>
      <w:r>
        <w:rPr>
          <w:rFonts w:ascii="Arial" w:hAnsi="Arial" w:cs="Arial"/>
          <w:b/>
          <w:snapToGrid w:val="0"/>
        </w:rPr>
        <w:t>informace o své hospodářské situaci</w:t>
      </w:r>
      <w:r>
        <w:rPr>
          <w:rFonts w:ascii="Arial" w:hAnsi="Arial" w:cs="Arial"/>
          <w:snapToGrid w:val="0"/>
        </w:rPr>
        <w:t xml:space="preserve"> (rozvahu a výkaz zisku a ztráty v uspořádání podle platné právní úpravy).</w:t>
      </w:r>
    </w:p>
    <w:p w14:paraId="3012E152" w14:textId="77777777" w:rsidR="00714C04" w:rsidRDefault="00714C04" w:rsidP="00714C04">
      <w:pPr>
        <w:widowControl w:val="0"/>
        <w:ind w:left="426"/>
        <w:jc w:val="both"/>
        <w:rPr>
          <w:rFonts w:ascii="Arial" w:hAnsi="Arial" w:cs="Arial"/>
          <w:snapToGrid w:val="0"/>
        </w:rPr>
      </w:pPr>
      <w:r>
        <w:rPr>
          <w:rFonts w:ascii="Arial" w:hAnsi="Arial" w:cs="Arial"/>
          <w:snapToGrid w:val="0"/>
        </w:rPr>
        <w:t>Klient je povinen předložit Bance též zprávu z každého mimořádného účetního auditu a každou mimořádnou účetní závěrku, a to nejpozději do 30 dnů od data jejich zpracování.</w:t>
      </w:r>
    </w:p>
    <w:p w14:paraId="5F5AC85A" w14:textId="77777777" w:rsidR="00714C04" w:rsidRDefault="00714C04" w:rsidP="00714C04">
      <w:pPr>
        <w:widowControl w:val="0"/>
        <w:ind w:left="426"/>
        <w:jc w:val="both"/>
        <w:rPr>
          <w:rFonts w:ascii="Arial" w:hAnsi="Arial" w:cs="Arial"/>
          <w:snapToGrid w:val="0"/>
        </w:rPr>
      </w:pPr>
      <w:r>
        <w:rPr>
          <w:rFonts w:ascii="Arial" w:hAnsi="Arial" w:cs="Arial"/>
          <w:snapToGrid w:val="0"/>
        </w:rPr>
        <w:t xml:space="preserve">Pokud Klient je nebo se stane součástí konsolidačního celku, je povinen předložit konsolidovanou účetní závěrku, a to nejpozději do 9 měsíců po uplynutí posledního dne každého účetního období. </w:t>
      </w:r>
    </w:p>
    <w:p w14:paraId="38C4FC10" w14:textId="77777777" w:rsidR="00714C04" w:rsidRDefault="00714C04" w:rsidP="00714C04">
      <w:pPr>
        <w:widowControl w:val="0"/>
        <w:ind w:left="426"/>
        <w:jc w:val="both"/>
        <w:rPr>
          <w:rFonts w:ascii="Arial" w:hAnsi="Arial" w:cs="Arial"/>
          <w:snapToGrid w:val="0"/>
        </w:rPr>
      </w:pPr>
      <w:r>
        <w:rPr>
          <w:rFonts w:ascii="Arial" w:hAnsi="Arial" w:cs="Arial"/>
          <w:snapToGrid w:val="0"/>
        </w:rPr>
        <w:t>Banka si vyhrazuje právo bez ohledu na výše uvedené požadovat další podklady potřebné k ochraně svých práv.</w:t>
      </w:r>
    </w:p>
    <w:p w14:paraId="7806C3B5" w14:textId="77777777" w:rsidR="00714C04" w:rsidRDefault="00714C04" w:rsidP="00714C04">
      <w:pPr>
        <w:widowControl w:val="0"/>
        <w:ind w:left="426" w:hanging="426"/>
        <w:rPr>
          <w:rFonts w:ascii="Arial" w:hAnsi="Arial" w:cs="Arial"/>
          <w:snapToGrid w:val="0"/>
        </w:rPr>
      </w:pPr>
    </w:p>
    <w:p w14:paraId="368EE50D" w14:textId="77777777" w:rsidR="00714C04" w:rsidRDefault="00714C04" w:rsidP="00714C04">
      <w:pPr>
        <w:widowControl w:val="0"/>
        <w:ind w:left="426" w:hanging="426"/>
        <w:jc w:val="both"/>
        <w:rPr>
          <w:rFonts w:ascii="Arial" w:hAnsi="Arial" w:cs="Arial"/>
        </w:rPr>
      </w:pPr>
      <w:r>
        <w:rPr>
          <w:rFonts w:ascii="Arial" w:hAnsi="Arial" w:cs="Arial"/>
        </w:rPr>
        <w:t>4.</w:t>
      </w:r>
      <w:r>
        <w:rPr>
          <w:rFonts w:ascii="Arial" w:hAnsi="Arial" w:cs="Arial"/>
        </w:rPr>
        <w:tab/>
        <w:t>Klient bere na vědomí, že Banka je oprávněna vyžadovat od něho informace o aktuálních příjmových a majetkových poměrech právnických osob, na nichž se Klient v podstatné míře majetkově podílí, a zavazuje se předložit podklady, které si Banka vyžádá jako potřebné k ochraně svých práv.</w:t>
      </w:r>
    </w:p>
    <w:p w14:paraId="22F5E596" w14:textId="77777777" w:rsidR="00714C04" w:rsidRDefault="00714C04" w:rsidP="00714C04">
      <w:pPr>
        <w:pStyle w:val="Zkladntextodsazen2"/>
        <w:widowControl w:val="0"/>
        <w:ind w:left="425" w:hanging="425"/>
        <w:rPr>
          <w:rFonts w:ascii="Arial" w:hAnsi="Arial" w:cs="Arial"/>
          <w:color w:val="auto"/>
        </w:rPr>
      </w:pPr>
    </w:p>
    <w:p w14:paraId="4E75785E" w14:textId="77777777" w:rsidR="00714C04" w:rsidRDefault="00714C04" w:rsidP="00714C04">
      <w:pPr>
        <w:pStyle w:val="Zkladntextodsazen2"/>
        <w:widowControl w:val="0"/>
        <w:ind w:left="425" w:hanging="425"/>
        <w:rPr>
          <w:rFonts w:ascii="Arial" w:hAnsi="Arial" w:cs="Arial"/>
          <w:color w:val="auto"/>
        </w:rPr>
      </w:pPr>
      <w:r>
        <w:rPr>
          <w:rFonts w:ascii="Arial" w:hAnsi="Arial" w:cs="Arial"/>
          <w:color w:val="auto"/>
        </w:rPr>
        <w:t>5.</w:t>
      </w:r>
      <w:r>
        <w:rPr>
          <w:rFonts w:ascii="Arial" w:hAnsi="Arial" w:cs="Arial"/>
          <w:color w:val="auto"/>
        </w:rPr>
        <w:tab/>
        <w:t xml:space="preserve">Klient se zavazuje zdržet se za trvání právního vztahu založeného touto smlouvou jakéhokoli jednání, které  směřuje ke vzniku  zástavního nebo jiného věcného práva či přednostního pořadí pro takové právo k jeho majetku ve prospěch třetí osoby, resp. poskytnutí takové osobě jakéhokoliv jiného zajištění, např. ve formě ručení, finanční záruky, zajišťovacího převodu práva, vystavení směnky či převzetí jiného směnečného dluhu, bez předchozího souhlasu Banky, vyjma případů, kdy takovéto omezení není přípustné ze zákona. </w:t>
      </w:r>
    </w:p>
    <w:p w14:paraId="0B9795ED" w14:textId="77777777" w:rsidR="00714C04" w:rsidRDefault="00714C04" w:rsidP="00714C04">
      <w:pPr>
        <w:pStyle w:val="BodyText22"/>
        <w:widowControl w:val="0"/>
        <w:spacing w:before="60"/>
        <w:rPr>
          <w:rFonts w:ascii="Arial" w:hAnsi="Arial" w:cs="Arial"/>
        </w:rPr>
      </w:pPr>
      <w:r>
        <w:rPr>
          <w:rFonts w:ascii="Arial" w:hAnsi="Arial" w:cs="Arial"/>
        </w:rPr>
        <w:t>Takovéto omezení dále neplatí pro:</w:t>
      </w:r>
    </w:p>
    <w:p w14:paraId="515F6E87" w14:textId="097B8E0A" w:rsidR="00714C04" w:rsidRDefault="00714C04" w:rsidP="00714C04">
      <w:pPr>
        <w:widowControl w:val="0"/>
        <w:spacing w:before="60"/>
        <w:ind w:left="851" w:hanging="425"/>
        <w:jc w:val="both"/>
        <w:rPr>
          <w:rFonts w:ascii="Arial" w:hAnsi="Arial" w:cs="Arial"/>
        </w:rPr>
      </w:pPr>
      <w:r>
        <w:rPr>
          <w:rFonts w:ascii="Arial" w:hAnsi="Arial" w:cs="Arial"/>
        </w:rPr>
        <w:t>a)</w:t>
      </w:r>
      <w:r>
        <w:rPr>
          <w:rFonts w:ascii="Arial" w:hAnsi="Arial" w:cs="Arial"/>
        </w:rPr>
        <w:tab/>
        <w:t>zajištění, které již ke dni uzavření této smlouvy existuje a o jehož existenci Klient Banku písemně informoval. V</w:t>
      </w:r>
      <w:r w:rsidRPr="00714C04">
        <w:rPr>
          <w:rFonts w:ascii="Arial" w:hAnsi="Arial" w:cs="Arial"/>
        </w:rPr>
        <w:t> tomto případě je však Klient povinen se ve prospěch Banky a s účinky vůči třetím osobám zavázat, že žádný nový dluh nezajistí zástavním právem ve výhodnějším pořadí, než je pořadí zástavního práva Banky zřizovaného v souvislosti s touto smlouvou, a že neumožní zápis žádného nového zástavního práva namísto starého zástavního práva, které je v lepším pořadí než zástavní právo Banky</w:t>
      </w:r>
      <w:bookmarkStart w:id="1" w:name="_DV_M672"/>
      <w:bookmarkEnd w:id="1"/>
      <w:r w:rsidRPr="00714C04">
        <w:rPr>
          <w:rFonts w:ascii="Arial" w:hAnsi="Arial" w:cs="Arial"/>
        </w:rPr>
        <w:t xml:space="preserve"> zřizované v souvislosti s touto smlouvou.</w:t>
      </w:r>
    </w:p>
    <w:p w14:paraId="55200B2E" w14:textId="77777777" w:rsidR="00714C04" w:rsidRDefault="00714C04" w:rsidP="00714C04">
      <w:pPr>
        <w:pStyle w:val="Zkladntextodsazen3"/>
        <w:widowControl w:val="0"/>
        <w:spacing w:before="60"/>
        <w:ind w:left="901" w:hanging="476"/>
        <w:rPr>
          <w:rFonts w:ascii="Arial" w:hAnsi="Arial" w:cs="Arial"/>
        </w:rPr>
      </w:pPr>
      <w:r>
        <w:rPr>
          <w:rFonts w:ascii="Arial" w:hAnsi="Arial" w:cs="Arial"/>
        </w:rPr>
        <w:t>b)</w:t>
      </w:r>
      <w:r>
        <w:rPr>
          <w:rFonts w:ascii="Arial" w:hAnsi="Arial" w:cs="Arial"/>
        </w:rPr>
        <w:tab/>
        <w:t>veškeré zajištění, které je nutné či potřebné pro obvyklé a běžné denní obchodní případy související s jeho předmětem podnikání nebo vyplývající přímo ze zákona.</w:t>
      </w:r>
    </w:p>
    <w:p w14:paraId="4959D141" w14:textId="77777777" w:rsidR="00714C04" w:rsidRDefault="00714C04" w:rsidP="00714C04">
      <w:pPr>
        <w:pStyle w:val="Zkladntextodsazen2"/>
        <w:widowControl w:val="0"/>
        <w:ind w:left="425" w:hanging="425"/>
        <w:rPr>
          <w:rFonts w:ascii="Arial" w:hAnsi="Arial" w:cs="Arial"/>
          <w:color w:val="auto"/>
        </w:rPr>
      </w:pPr>
    </w:p>
    <w:p w14:paraId="15BD99E2" w14:textId="56A8314B" w:rsidR="00714C04" w:rsidRDefault="00714C04" w:rsidP="00714C04">
      <w:pPr>
        <w:spacing w:after="120"/>
        <w:ind w:left="425" w:hanging="426"/>
        <w:jc w:val="both"/>
        <w:rPr>
          <w:rFonts w:ascii="Arial" w:hAnsi="Arial" w:cs="Arial"/>
        </w:rPr>
      </w:pPr>
      <w:r>
        <w:rPr>
          <w:rFonts w:ascii="Arial" w:hAnsi="Arial" w:cs="Arial"/>
        </w:rPr>
        <w:t xml:space="preserve">6. </w:t>
      </w:r>
      <w:r>
        <w:rPr>
          <w:rFonts w:ascii="Arial" w:hAnsi="Arial" w:cs="Arial"/>
        </w:rPr>
        <w:tab/>
      </w:r>
      <w:r>
        <w:rPr>
          <w:rFonts w:ascii="Arial" w:eastAsia="Arial" w:hAnsi="Arial" w:cs="Arial"/>
        </w:rPr>
        <w:t xml:space="preserve">Klient se v souladu se </w:t>
      </w:r>
      <w:r>
        <w:rPr>
          <w:rFonts w:ascii="Arial" w:hAnsi="Arial" w:cs="Arial"/>
        </w:rPr>
        <w:t>zákonem č. 340/2015 Sb., o zvláštních podmínkách účinnosti některých smluv, uveřejňování těchto smluv a o registru smluv (zákon o registru smluv), ve znění pozdějších předpisů, (dále jen „</w:t>
      </w:r>
      <w:r>
        <w:rPr>
          <w:rFonts w:ascii="Arial" w:hAnsi="Arial" w:cs="Arial"/>
          <w:b/>
        </w:rPr>
        <w:t>Zákon o registru smluv</w:t>
      </w:r>
      <w:r>
        <w:rPr>
          <w:rFonts w:ascii="Arial" w:hAnsi="Arial" w:cs="Arial"/>
        </w:rPr>
        <w:t xml:space="preserve">“) zavazuje, že zajistí uveřejnění této smlouvy včetně Obecných obchodních podmínek, Produktových obchodních podmínek a Sazebníku, a to bez odkladu po uzavření této smlouvy. Vyloučí-li Klient určité informace z uveřejnění, je povinen Banku o provedení jejich znečitelnění v elektronickém obrazu textového obsahu smlouvy zaslaném správci registru smluv informovat.  </w:t>
      </w:r>
    </w:p>
    <w:p w14:paraId="25C542D4" w14:textId="77777777" w:rsidR="00714C04" w:rsidRDefault="00714C04" w:rsidP="00714C04">
      <w:pPr>
        <w:spacing w:after="120"/>
        <w:ind w:left="425"/>
        <w:jc w:val="both"/>
        <w:rPr>
          <w:rFonts w:ascii="Arial" w:eastAsia="Arial" w:hAnsi="Arial" w:cs="Arial"/>
        </w:rPr>
      </w:pPr>
      <w:r>
        <w:rPr>
          <w:rFonts w:ascii="Arial" w:hAnsi="Arial" w:cs="Arial"/>
        </w:rPr>
        <w:t>Bez ohledu na výše uvedené Klient souhlasí s tím, aby Banka v zájmu nezrušení smlouvy uveřejnila podle § 7 odst. 2 Zákona o registru smluv celou smlouvu včetně všech příloh, i kdyby šlo (i) o dokumenty, údaje či informace podle § 3 Zákona o registru smluv, (</w:t>
      </w:r>
      <w:proofErr w:type="spellStart"/>
      <w:r>
        <w:rPr>
          <w:rFonts w:ascii="Arial" w:hAnsi="Arial" w:cs="Arial"/>
        </w:rPr>
        <w:t>ii</w:t>
      </w:r>
      <w:proofErr w:type="spellEnd"/>
      <w:r>
        <w:rPr>
          <w:rFonts w:ascii="Arial" w:hAnsi="Arial" w:cs="Arial"/>
        </w:rPr>
        <w:t>) o informace představující bankovní tajemství ve smyslu zákona č. 21/1992 Sb., o bankách, a/nebo (</w:t>
      </w:r>
      <w:proofErr w:type="spellStart"/>
      <w:r>
        <w:rPr>
          <w:rFonts w:ascii="Arial" w:hAnsi="Arial" w:cs="Arial"/>
        </w:rPr>
        <w:t>iii</w:t>
      </w:r>
      <w:proofErr w:type="spellEnd"/>
      <w:r>
        <w:rPr>
          <w:rFonts w:ascii="Arial" w:hAnsi="Arial" w:cs="Arial"/>
        </w:rPr>
        <w:t>) o jakékoliv jiné dokumenty, údaje či informace, byť by byly důvěrné či jinak chráněné, a to i dle zvláštních právních předpisů.</w:t>
      </w:r>
      <w:r>
        <w:t xml:space="preserve"> </w:t>
      </w:r>
    </w:p>
    <w:p w14:paraId="1BA17CAF" w14:textId="77777777" w:rsidR="00714C04" w:rsidRDefault="00714C04" w:rsidP="00714C04">
      <w:pPr>
        <w:spacing w:after="120"/>
        <w:ind w:left="425"/>
        <w:jc w:val="both"/>
        <w:rPr>
          <w:rFonts w:ascii="Arial" w:hAnsi="Arial" w:cs="Arial"/>
        </w:rPr>
      </w:pPr>
      <w:r>
        <w:rPr>
          <w:rFonts w:ascii="Arial" w:hAnsi="Arial" w:cs="Arial"/>
        </w:rPr>
        <w:t xml:space="preserve">Klient bere na vědomí, že v případě neuveřejnění této smlouvy či jejích dodatků v rozsahu a kvalitě požadovaném Zákonem o registru smluv nese odpovědnost za případné škody vzniklé Bance v důsledku této skutečnosti.  </w:t>
      </w:r>
    </w:p>
    <w:p w14:paraId="1D390BDC" w14:textId="77777777" w:rsidR="00714C04" w:rsidRDefault="00714C04" w:rsidP="00714C04">
      <w:pPr>
        <w:pStyle w:val="Nadpis1"/>
        <w:keepNext w:val="0"/>
        <w:widowControl w:val="0"/>
        <w:spacing w:before="0" w:after="0"/>
        <w:rPr>
          <w:rFonts w:ascii="Arial" w:hAnsi="Arial" w:cs="Arial"/>
          <w:sz w:val="20"/>
          <w:lang w:val="cs-CZ"/>
        </w:rPr>
      </w:pPr>
    </w:p>
    <w:p w14:paraId="3088B8EF"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 xml:space="preserve">XI. </w:t>
      </w:r>
    </w:p>
    <w:p w14:paraId="082B83A4"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Závažné porušení smlouvy a jiné závažné skutečnosti; jejich důsledky</w:t>
      </w:r>
    </w:p>
    <w:p w14:paraId="0865E3C1" w14:textId="77777777" w:rsidR="00714C04" w:rsidRDefault="00714C04" w:rsidP="00714C04">
      <w:pPr>
        <w:widowControl w:val="0"/>
        <w:ind w:left="851" w:hanging="851"/>
        <w:jc w:val="center"/>
        <w:rPr>
          <w:rFonts w:ascii="Arial" w:hAnsi="Arial" w:cs="Arial"/>
        </w:rPr>
      </w:pPr>
    </w:p>
    <w:p w14:paraId="47DF06EE" w14:textId="77777777" w:rsidR="00714C04" w:rsidRDefault="00714C04" w:rsidP="00714C04">
      <w:pPr>
        <w:widowControl w:val="0"/>
        <w:ind w:left="425" w:hanging="425"/>
        <w:jc w:val="both"/>
        <w:rPr>
          <w:rFonts w:ascii="Arial" w:hAnsi="Arial" w:cs="Arial"/>
        </w:rPr>
      </w:pPr>
      <w:r>
        <w:rPr>
          <w:rFonts w:ascii="Arial" w:hAnsi="Arial" w:cs="Arial"/>
        </w:rPr>
        <w:t>1.</w:t>
      </w:r>
      <w:r>
        <w:rPr>
          <w:rFonts w:ascii="Arial" w:hAnsi="Arial" w:cs="Arial"/>
        </w:rPr>
        <w:tab/>
        <w:t xml:space="preserve">Za závažné porušení této smlouvy a jiné závažné skutečnosti smluvní strany považují zejména jednání a skutečnosti výslovně takto označené v Produktových obchodních podmínkách. </w:t>
      </w:r>
    </w:p>
    <w:p w14:paraId="5219AB8E" w14:textId="77777777" w:rsidR="00714C04" w:rsidRDefault="00714C04" w:rsidP="00714C04">
      <w:pPr>
        <w:widowControl w:val="0"/>
        <w:ind w:left="425" w:hanging="425"/>
        <w:jc w:val="both"/>
        <w:rPr>
          <w:rFonts w:ascii="Arial" w:hAnsi="Arial" w:cs="Arial"/>
        </w:rPr>
      </w:pPr>
    </w:p>
    <w:p w14:paraId="3DD75149" w14:textId="77777777" w:rsidR="00714C04" w:rsidRDefault="00714C04" w:rsidP="00714C04">
      <w:pPr>
        <w:widowControl w:val="0"/>
        <w:ind w:left="425" w:hanging="425"/>
        <w:jc w:val="both"/>
        <w:rPr>
          <w:rFonts w:ascii="Arial" w:hAnsi="Arial" w:cs="Arial"/>
        </w:rPr>
      </w:pPr>
      <w:r>
        <w:rPr>
          <w:rFonts w:ascii="Arial" w:hAnsi="Arial" w:cs="Arial"/>
        </w:rPr>
        <w:t>2.</w:t>
      </w:r>
      <w:r>
        <w:rPr>
          <w:rFonts w:ascii="Arial" w:hAnsi="Arial" w:cs="Arial"/>
        </w:rPr>
        <w:tab/>
        <w:t>Za závažné porušení smlouvy se dále považuje skutečnost, pokud Klient nebo jiná osoba odlišná od Klienta, která poskytla jistotu k zajištění splnění jeho dluhů, poruší jakoukoli svoji povinnost vůči Bance nebo třetí osobě vzniklou z jakéhokoli právního či věcného důvodu a toto porušení může podle názoru Banky negativním způsobem ovlivnit schopnost Klienta plnit jeho dluhy z této smlouvy, resp. snižuje hodnotu jistoty k zajištění jejich splnění.</w:t>
      </w:r>
    </w:p>
    <w:p w14:paraId="08562A2D" w14:textId="77777777" w:rsidR="00714C04" w:rsidRDefault="00714C04" w:rsidP="00714C04">
      <w:pPr>
        <w:pStyle w:val="Zkladntextodsazen"/>
        <w:widowControl w:val="0"/>
        <w:spacing w:before="60"/>
        <w:ind w:left="850" w:hanging="425"/>
        <w:rPr>
          <w:rFonts w:ascii="Arial" w:hAnsi="Arial" w:cs="Arial"/>
        </w:rPr>
      </w:pPr>
    </w:p>
    <w:p w14:paraId="6C9CACDA" w14:textId="77777777" w:rsidR="00714C04" w:rsidRDefault="00714C04" w:rsidP="00714C04">
      <w:pPr>
        <w:widowControl w:val="0"/>
        <w:ind w:left="425" w:hanging="425"/>
        <w:jc w:val="both"/>
        <w:rPr>
          <w:rFonts w:ascii="Arial" w:hAnsi="Arial" w:cs="Arial"/>
        </w:rPr>
      </w:pPr>
      <w:r>
        <w:rPr>
          <w:rFonts w:ascii="Arial" w:hAnsi="Arial" w:cs="Arial"/>
        </w:rPr>
        <w:lastRenderedPageBreak/>
        <w:t>3.</w:t>
      </w:r>
      <w:r>
        <w:rPr>
          <w:rFonts w:ascii="Arial" w:hAnsi="Arial" w:cs="Arial"/>
        </w:rPr>
        <w:tab/>
        <w:t>V případě závažného porušení smlouvy či v případě jiných závažných skutečností je Banka oprávněna učinit jakákoli nebo veškerá z opatření uvedených v Produktových obchodních podmínkách.</w:t>
      </w:r>
    </w:p>
    <w:p w14:paraId="51A0235A" w14:textId="77777777" w:rsidR="00714C04" w:rsidRDefault="00714C04" w:rsidP="00714C04">
      <w:pPr>
        <w:widowControl w:val="0"/>
        <w:ind w:left="425" w:hanging="425"/>
        <w:jc w:val="both"/>
        <w:rPr>
          <w:rFonts w:ascii="Arial" w:hAnsi="Arial" w:cs="Arial"/>
        </w:rPr>
      </w:pPr>
    </w:p>
    <w:p w14:paraId="07790CCA" w14:textId="77777777" w:rsidR="00714C04" w:rsidRDefault="00714C04" w:rsidP="00714C04">
      <w:pPr>
        <w:widowControl w:val="0"/>
        <w:ind w:left="425" w:hanging="425"/>
        <w:jc w:val="both"/>
        <w:rPr>
          <w:rFonts w:ascii="Arial" w:hAnsi="Arial" w:cs="Arial"/>
        </w:rPr>
      </w:pPr>
      <w:r>
        <w:rPr>
          <w:rFonts w:ascii="Arial" w:hAnsi="Arial" w:cs="Arial"/>
        </w:rPr>
        <w:t>4.</w:t>
      </w:r>
      <w:r>
        <w:rPr>
          <w:rFonts w:ascii="Arial" w:hAnsi="Arial" w:cs="Arial"/>
        </w:rPr>
        <w:tab/>
        <w:t xml:space="preserve">Pro případ uzavření </w:t>
      </w:r>
      <w:bookmarkStart w:id="2" w:name="_Hlk83201783"/>
      <w:r>
        <w:rPr>
          <w:rFonts w:ascii="Arial" w:hAnsi="Arial" w:cs="Arial"/>
        </w:rPr>
        <w:t>dohody se svolením k vykonatelnosti</w:t>
      </w:r>
      <w:bookmarkEnd w:id="2"/>
      <w:r>
        <w:rPr>
          <w:rFonts w:ascii="Arial" w:hAnsi="Arial" w:cs="Arial"/>
        </w:rPr>
        <w:t xml:space="preserve"> formou notářského zápisu týkající se dluhů z této smlouvy smluvní strany sjednávají, že Banka je oprávněna požadovat splacení celého úvěru, jestliže nebude Klientem zaplacena některá ze splátek, a to ani v dodatečné lhůtě 5 dnů ode dne obdržení písemné výzvy Banky k zaplacení (ztráta výhody splátek).</w:t>
      </w:r>
    </w:p>
    <w:p w14:paraId="49EC53BC" w14:textId="77777777" w:rsidR="00714C04" w:rsidRDefault="00714C04" w:rsidP="00714C04">
      <w:pPr>
        <w:pStyle w:val="Nadpis1"/>
        <w:keepNext w:val="0"/>
        <w:widowControl w:val="0"/>
        <w:spacing w:before="0" w:after="0"/>
        <w:rPr>
          <w:rFonts w:ascii="Arial" w:hAnsi="Arial" w:cs="Arial"/>
          <w:sz w:val="20"/>
          <w:lang w:val="cs-CZ"/>
        </w:rPr>
      </w:pPr>
    </w:p>
    <w:p w14:paraId="0A552F8A" w14:textId="77777777" w:rsidR="00714C04" w:rsidRDefault="00714C04" w:rsidP="00714C04">
      <w:pPr>
        <w:pStyle w:val="Nadpis1"/>
        <w:keepNext w:val="0"/>
        <w:widowControl w:val="0"/>
        <w:spacing w:before="0"/>
        <w:rPr>
          <w:rFonts w:ascii="Arial" w:hAnsi="Arial" w:cs="Arial"/>
          <w:sz w:val="20"/>
          <w:lang w:val="cs-CZ"/>
        </w:rPr>
      </w:pPr>
      <w:r>
        <w:rPr>
          <w:rFonts w:ascii="Arial" w:hAnsi="Arial" w:cs="Arial"/>
          <w:sz w:val="20"/>
          <w:lang w:val="cs-CZ"/>
        </w:rPr>
        <w:t>XII.</w:t>
      </w:r>
    </w:p>
    <w:p w14:paraId="010D6541" w14:textId="77777777" w:rsidR="00714C04" w:rsidRDefault="00714C04" w:rsidP="00714C04">
      <w:pPr>
        <w:pStyle w:val="Nadpis1"/>
        <w:keepNext w:val="0"/>
        <w:widowControl w:val="0"/>
        <w:spacing w:before="0" w:after="0"/>
        <w:rPr>
          <w:rFonts w:ascii="Arial" w:hAnsi="Arial" w:cs="Arial"/>
          <w:sz w:val="20"/>
          <w:lang w:val="cs-CZ"/>
        </w:rPr>
      </w:pPr>
      <w:r>
        <w:rPr>
          <w:rFonts w:ascii="Arial" w:hAnsi="Arial" w:cs="Arial"/>
          <w:sz w:val="20"/>
          <w:lang w:val="cs-CZ"/>
        </w:rPr>
        <w:t>Závěrečná ustanovení</w:t>
      </w:r>
    </w:p>
    <w:p w14:paraId="79F210DA" w14:textId="77777777" w:rsidR="00714C04" w:rsidRDefault="00714C04" w:rsidP="00714C04">
      <w:pPr>
        <w:widowControl w:val="0"/>
        <w:ind w:left="851" w:hanging="851"/>
        <w:jc w:val="center"/>
        <w:rPr>
          <w:rFonts w:ascii="Arial" w:hAnsi="Arial" w:cs="Arial"/>
        </w:rPr>
      </w:pPr>
    </w:p>
    <w:p w14:paraId="567D7BC6" w14:textId="77777777" w:rsidR="00714C04" w:rsidRDefault="00714C04" w:rsidP="00714C04">
      <w:pPr>
        <w:widowControl w:val="0"/>
        <w:ind w:left="426" w:hanging="426"/>
        <w:jc w:val="both"/>
        <w:rPr>
          <w:rFonts w:ascii="Arial" w:hAnsi="Arial" w:cs="Arial"/>
        </w:rPr>
      </w:pPr>
      <w:r>
        <w:rPr>
          <w:rFonts w:ascii="Arial" w:hAnsi="Arial" w:cs="Arial"/>
        </w:rPr>
        <w:t>1.</w:t>
      </w:r>
      <w:r>
        <w:rPr>
          <w:rFonts w:ascii="Arial" w:hAnsi="Arial" w:cs="Arial"/>
        </w:rPr>
        <w:tab/>
        <w:t xml:space="preserve">Smlouva je sepsána ve dvou vyhotoveních v českém jazyce; každá smluvní strana obdrží po jednom vyhotovení smlouvy opatřeném podpisy obou smluvních stran. </w:t>
      </w:r>
    </w:p>
    <w:p w14:paraId="2702349F" w14:textId="77777777" w:rsidR="00714C04" w:rsidRDefault="00714C04" w:rsidP="00714C04">
      <w:pPr>
        <w:widowControl w:val="0"/>
        <w:ind w:left="851" w:hanging="851"/>
        <w:rPr>
          <w:rFonts w:ascii="Arial" w:hAnsi="Arial" w:cs="Arial"/>
        </w:rPr>
      </w:pPr>
    </w:p>
    <w:p w14:paraId="1AA97B80" w14:textId="77777777" w:rsidR="00714C04" w:rsidRDefault="00714C04" w:rsidP="00714C04">
      <w:pPr>
        <w:widowControl w:val="0"/>
        <w:ind w:left="426" w:hanging="426"/>
        <w:jc w:val="both"/>
        <w:rPr>
          <w:rFonts w:ascii="Arial" w:hAnsi="Arial" w:cs="Arial"/>
        </w:rPr>
      </w:pPr>
      <w:r>
        <w:rPr>
          <w:rFonts w:ascii="Arial" w:hAnsi="Arial" w:cs="Arial"/>
        </w:rPr>
        <w:t>2.</w:t>
      </w:r>
      <w:r>
        <w:rPr>
          <w:rFonts w:ascii="Arial" w:hAnsi="Arial" w:cs="Arial"/>
        </w:rPr>
        <w:tab/>
        <w:t>Smlouva nabývá platnosti dnem jejího podpisu oběma smluvními stranami a účinnosti dnem jejího uveřejnění v registru smluv v souladu se Zákonem o registru smluv. Ustanovení této smlouvy platí pro vztah mezi Bankou a Klientem v plném rozsahu až do dne, kdy budou zcela uhrazeny všechny dluhy Klienta vyplývající z této smlouvy a vznik jakýchkoli pohledávek Banky z této smlouvy bude vyloučen.</w:t>
      </w:r>
    </w:p>
    <w:p w14:paraId="72F398C4" w14:textId="77777777" w:rsidR="00714C04" w:rsidRDefault="00714C04" w:rsidP="00714C04">
      <w:pPr>
        <w:widowControl w:val="0"/>
        <w:ind w:left="426" w:hanging="426"/>
        <w:rPr>
          <w:rFonts w:ascii="Arial" w:hAnsi="Arial" w:cs="Arial"/>
        </w:rPr>
      </w:pPr>
    </w:p>
    <w:p w14:paraId="06388B0C" w14:textId="77777777" w:rsidR="00714C04" w:rsidRDefault="00714C04" w:rsidP="00714C04">
      <w:pPr>
        <w:pStyle w:val="Zkladntextodsazen3"/>
        <w:ind w:left="425" w:hanging="425"/>
        <w:rPr>
          <w:rFonts w:ascii="Arial" w:hAnsi="Arial" w:cs="Arial"/>
        </w:rPr>
      </w:pPr>
      <w:r>
        <w:rPr>
          <w:rFonts w:ascii="Arial" w:hAnsi="Arial" w:cs="Arial"/>
        </w:rPr>
        <w:t>3.</w:t>
      </w:r>
      <w:r>
        <w:rPr>
          <w:rFonts w:ascii="Arial" w:hAnsi="Arial" w:cs="Arial"/>
        </w:rPr>
        <w:tab/>
        <w:t>Prodlení s výkonem práva ze strany Banky nemůže být vykládáno jako vzdání se práva či nároku ze strany Banky.</w:t>
      </w:r>
    </w:p>
    <w:p w14:paraId="423AF7F1" w14:textId="77777777" w:rsidR="00714C04" w:rsidRDefault="00714C04" w:rsidP="00714C04">
      <w:pPr>
        <w:pStyle w:val="Zkladntextodsazen3"/>
        <w:widowControl w:val="0"/>
        <w:ind w:left="426"/>
        <w:rPr>
          <w:rFonts w:ascii="Arial" w:hAnsi="Arial" w:cs="Arial"/>
        </w:rPr>
      </w:pPr>
    </w:p>
    <w:p w14:paraId="6B46B54F" w14:textId="77777777" w:rsidR="00714C04" w:rsidRDefault="00714C04" w:rsidP="00714C04">
      <w:pPr>
        <w:ind w:left="425" w:hanging="425"/>
        <w:jc w:val="both"/>
        <w:rPr>
          <w:rFonts w:ascii="Arial" w:hAnsi="Arial" w:cs="Arial"/>
        </w:rPr>
      </w:pPr>
      <w:r>
        <w:rPr>
          <w:rFonts w:ascii="Arial" w:hAnsi="Arial" w:cs="Arial"/>
        </w:rPr>
        <w:t>4.</w:t>
      </w:r>
      <w:r>
        <w:rPr>
          <w:rFonts w:ascii="Arial" w:hAnsi="Arial" w:cs="Arial"/>
        </w:rPr>
        <w:tab/>
        <w:t>Smluvní strany se pro účely této smlouvy ve vztahu k Obecným obchodním podmínkám dohodly na následujícím:</w:t>
      </w:r>
    </w:p>
    <w:p w14:paraId="12A692F6" w14:textId="77777777" w:rsidR="00714C04" w:rsidRDefault="00714C04" w:rsidP="00714C04">
      <w:pPr>
        <w:ind w:left="709" w:hanging="283"/>
        <w:jc w:val="both"/>
        <w:rPr>
          <w:rFonts w:ascii="Arial" w:hAnsi="Arial" w:cs="Arial"/>
        </w:rPr>
      </w:pPr>
      <w:r>
        <w:rPr>
          <w:rFonts w:ascii="Arial" w:hAnsi="Arial" w:cs="Arial"/>
        </w:rPr>
        <w:t>- Čl. 7.5 Obecných obchodních podmínek se nepoužije.</w:t>
      </w:r>
    </w:p>
    <w:p w14:paraId="1B609334" w14:textId="77777777" w:rsidR="00714C04" w:rsidRDefault="00714C04" w:rsidP="00714C04">
      <w:pPr>
        <w:pStyle w:val="Zkladntextodsazen3"/>
        <w:widowControl w:val="0"/>
        <w:ind w:left="426"/>
        <w:rPr>
          <w:rFonts w:ascii="Arial" w:hAnsi="Arial" w:cs="Arial"/>
        </w:rPr>
      </w:pPr>
    </w:p>
    <w:p w14:paraId="62FBEF54" w14:textId="77777777" w:rsidR="00714C04" w:rsidRDefault="00714C04" w:rsidP="00714C04">
      <w:pPr>
        <w:ind w:left="425" w:hanging="425"/>
        <w:jc w:val="both"/>
        <w:rPr>
          <w:rFonts w:ascii="Arial" w:hAnsi="Arial" w:cs="Arial"/>
        </w:rPr>
      </w:pPr>
      <w:r>
        <w:rPr>
          <w:rFonts w:ascii="Arial" w:hAnsi="Arial" w:cs="Arial"/>
        </w:rPr>
        <w:t>5.</w:t>
      </w:r>
      <w:r>
        <w:rPr>
          <w:rFonts w:ascii="Arial" w:hAnsi="Arial" w:cs="Arial"/>
        </w:rPr>
        <w:tab/>
        <w:t>Dále se smluvní strany pro účely této smlouvy ve vztahu k Produktovým obchodním podmínkám dohodly na následujícím:</w:t>
      </w:r>
    </w:p>
    <w:p w14:paraId="7619679E" w14:textId="77777777" w:rsidR="00714C04" w:rsidRDefault="00714C04" w:rsidP="00714C04">
      <w:pPr>
        <w:ind w:left="709" w:hanging="283"/>
        <w:jc w:val="both"/>
        <w:rPr>
          <w:rFonts w:ascii="Arial" w:hAnsi="Arial" w:cs="Arial"/>
        </w:rPr>
      </w:pPr>
      <w:r>
        <w:rPr>
          <w:rFonts w:ascii="Arial" w:hAnsi="Arial" w:cs="Arial"/>
        </w:rPr>
        <w:t>- Čl. 4.3, 5.10 a 7.2 Produktových obchodních podmínek se nepoužijí.</w:t>
      </w:r>
    </w:p>
    <w:p w14:paraId="47A90D23" w14:textId="77777777" w:rsidR="00714C04" w:rsidRDefault="00714C04" w:rsidP="00714C04">
      <w:pPr>
        <w:pStyle w:val="Zkladntextodsazen3"/>
        <w:widowControl w:val="0"/>
        <w:ind w:left="426"/>
        <w:rPr>
          <w:rFonts w:ascii="Arial" w:hAnsi="Arial" w:cs="Arial"/>
        </w:rPr>
      </w:pPr>
    </w:p>
    <w:p w14:paraId="3B69D18E" w14:textId="77777777" w:rsidR="00714C04" w:rsidRDefault="00714C04" w:rsidP="00714C04">
      <w:pPr>
        <w:pStyle w:val="Zkladntextodsazen3"/>
        <w:ind w:left="426"/>
        <w:rPr>
          <w:rFonts w:ascii="Arial" w:hAnsi="Arial" w:cs="Arial"/>
        </w:rPr>
      </w:pPr>
      <w:r>
        <w:rPr>
          <w:rFonts w:ascii="Arial" w:hAnsi="Arial" w:cs="Arial"/>
        </w:rPr>
        <w:t>6.</w:t>
      </w:r>
      <w:r>
        <w:rPr>
          <w:rFonts w:ascii="Arial" w:hAnsi="Arial" w:cs="Arial"/>
        </w:rPr>
        <w:tab/>
        <w:t>Dále se smluvní strany ve vztahu k Produktovým obchodním podmínkám dohodly na následujícím:</w:t>
      </w:r>
    </w:p>
    <w:p w14:paraId="65990641" w14:textId="77777777" w:rsidR="00714C04" w:rsidRDefault="00714C04" w:rsidP="00714C04">
      <w:pPr>
        <w:pStyle w:val="Zkladntextodsazen3"/>
        <w:ind w:left="567" w:hanging="141"/>
        <w:rPr>
          <w:rFonts w:ascii="Arial" w:hAnsi="Arial" w:cs="Arial"/>
        </w:rPr>
      </w:pPr>
      <w:r>
        <w:rPr>
          <w:rFonts w:ascii="Arial" w:hAnsi="Arial" w:cs="Arial"/>
        </w:rPr>
        <w:t xml:space="preserve">- Čl. 11.3 Produktových obchodních podmínek pro účely této smlouvy zní takto: </w:t>
      </w:r>
    </w:p>
    <w:p w14:paraId="3A91EB5E" w14:textId="77777777" w:rsidR="00714C04" w:rsidRDefault="00714C04" w:rsidP="00714C04">
      <w:pPr>
        <w:pStyle w:val="Zkladntextodsazen3"/>
        <w:ind w:left="426" w:firstLine="0"/>
        <w:rPr>
          <w:rFonts w:ascii="Arial" w:hAnsi="Arial" w:cs="Arial"/>
        </w:rPr>
      </w:pPr>
      <w:r>
        <w:rPr>
          <w:rFonts w:ascii="Arial" w:hAnsi="Arial" w:cs="Arial"/>
        </w:rPr>
        <w:t>Pokud po podpisu smlouvy o úvěru dojde ke změně právních předpisů či ke změně v jejich obecně závazné výkladové praxi či k jiné nepředvídatelné události, je Klient povinen, budou-li to obecně závazné předpisy nebo předpisy závazné pro Banku (zejména nařízení a opatření ČNB) vyžadovat, spolupracovat s Bankou na uvedení úvěrového vztahu do souladu s těmito předpisy.</w:t>
      </w:r>
    </w:p>
    <w:p w14:paraId="0AFF4361" w14:textId="77777777" w:rsidR="00714C04" w:rsidRDefault="00714C04" w:rsidP="00714C04">
      <w:pPr>
        <w:pStyle w:val="Zkladntextodsazen3"/>
        <w:widowControl w:val="0"/>
        <w:ind w:left="426"/>
        <w:rPr>
          <w:rFonts w:ascii="Arial" w:hAnsi="Arial" w:cs="Arial"/>
        </w:rPr>
      </w:pPr>
    </w:p>
    <w:p w14:paraId="7DC885A0" w14:textId="77777777" w:rsidR="00714C04" w:rsidRDefault="00714C04" w:rsidP="00714C04">
      <w:pPr>
        <w:widowControl w:val="0"/>
        <w:tabs>
          <w:tab w:val="left" w:pos="4536"/>
        </w:tabs>
        <w:ind w:left="426" w:hanging="426"/>
        <w:jc w:val="both"/>
        <w:rPr>
          <w:rFonts w:ascii="Arial" w:hAnsi="Arial" w:cs="Arial"/>
        </w:rPr>
      </w:pPr>
      <w:r>
        <w:rPr>
          <w:rFonts w:ascii="Arial" w:hAnsi="Arial" w:cs="Arial"/>
        </w:rPr>
        <w:t>7.</w:t>
      </w:r>
      <w:r>
        <w:rPr>
          <w:rFonts w:ascii="Arial" w:hAnsi="Arial" w:cs="Arial"/>
        </w:rPr>
        <w:tab/>
        <w:t xml:space="preserve">Pro vyloučení pochybností smluvní strany potvrzují, že na závazek založený touto smlouvou se nepoužijí ustanovení § 1799 a § 1800 občanského zákoníku týkající se smluv uzavíraných adhezním způsobem. </w:t>
      </w:r>
    </w:p>
    <w:p w14:paraId="10BB3D78" w14:textId="77777777" w:rsidR="00714C04" w:rsidRDefault="00714C04" w:rsidP="00714C04">
      <w:pPr>
        <w:pStyle w:val="Zkladntextodsazen3"/>
        <w:widowControl w:val="0"/>
        <w:ind w:left="426"/>
        <w:rPr>
          <w:rFonts w:ascii="Arial" w:hAnsi="Arial" w:cs="Arial"/>
        </w:rPr>
      </w:pPr>
    </w:p>
    <w:p w14:paraId="7A31DF42" w14:textId="77777777" w:rsidR="00714C04" w:rsidRDefault="00714C04" w:rsidP="00714C04">
      <w:pPr>
        <w:pStyle w:val="Zkladntextodsazen3"/>
        <w:widowControl w:val="0"/>
        <w:ind w:left="426"/>
        <w:rPr>
          <w:rFonts w:ascii="Arial" w:hAnsi="Arial" w:cs="Arial"/>
        </w:rPr>
      </w:pPr>
      <w:r>
        <w:rPr>
          <w:rFonts w:ascii="Arial" w:hAnsi="Arial" w:cs="Arial"/>
        </w:rPr>
        <w:t>8.</w:t>
      </w:r>
      <w:r>
        <w:rPr>
          <w:rFonts w:ascii="Arial" w:hAnsi="Arial" w:cs="Arial"/>
        </w:rPr>
        <w:tab/>
        <w:t>Tato smlouva a jakékoliv její části, změny či doplňky se stanou závaznými pro případné právní nástupce Klienta i Banky.</w:t>
      </w:r>
    </w:p>
    <w:p w14:paraId="664EEFCB" w14:textId="77777777" w:rsidR="00714C04" w:rsidRDefault="00714C04" w:rsidP="00714C04">
      <w:pPr>
        <w:pStyle w:val="Zkladntextodsazen2"/>
        <w:widowControl w:val="0"/>
        <w:rPr>
          <w:rFonts w:ascii="Arial" w:hAnsi="Arial" w:cs="Arial"/>
          <w:color w:val="auto"/>
        </w:rPr>
      </w:pPr>
    </w:p>
    <w:p w14:paraId="7D5232A8" w14:textId="77777777" w:rsidR="00714C04" w:rsidRDefault="00714C04" w:rsidP="00714C04">
      <w:pPr>
        <w:widowControl w:val="0"/>
        <w:tabs>
          <w:tab w:val="left" w:pos="4536"/>
        </w:tabs>
        <w:ind w:left="426" w:hanging="426"/>
        <w:jc w:val="both"/>
        <w:rPr>
          <w:rFonts w:ascii="Arial" w:hAnsi="Arial" w:cs="Arial"/>
        </w:rPr>
      </w:pPr>
      <w:r>
        <w:rPr>
          <w:rFonts w:ascii="Arial" w:hAnsi="Arial" w:cs="Arial"/>
        </w:rPr>
        <w:t>9.</w:t>
      </w:r>
      <w:r>
        <w:rPr>
          <w:rFonts w:ascii="Arial" w:hAnsi="Arial" w:cs="Arial"/>
        </w:rPr>
        <w:tab/>
        <w:t>K projednání sporů z této smlouvy se dohodou smluvních stran podle § 89a občanského soudního řádu sjednává místní příslušnost Obvodního soudu pro Prahu 1.</w:t>
      </w:r>
    </w:p>
    <w:p w14:paraId="556E5728" w14:textId="77777777" w:rsidR="00714C04" w:rsidRDefault="00714C04" w:rsidP="00714C04">
      <w:pPr>
        <w:widowControl w:val="0"/>
        <w:tabs>
          <w:tab w:val="left" w:pos="4536"/>
        </w:tabs>
        <w:ind w:left="426" w:hanging="426"/>
        <w:jc w:val="both"/>
        <w:rPr>
          <w:rFonts w:ascii="Arial" w:hAnsi="Arial" w:cs="Arial"/>
        </w:rPr>
      </w:pPr>
    </w:p>
    <w:p w14:paraId="05128AC0" w14:textId="77777777" w:rsidR="00714C04" w:rsidRDefault="00714C04" w:rsidP="00714C04">
      <w:pPr>
        <w:widowControl w:val="0"/>
        <w:rPr>
          <w:rFonts w:ascii="Arial" w:hAnsi="Arial" w:cs="Arial"/>
        </w:rPr>
      </w:pPr>
      <w:bookmarkStart w:id="3" w:name="_DV_M380"/>
      <w:bookmarkEnd w:id="3"/>
    </w:p>
    <w:p w14:paraId="3361ACD6" w14:textId="77777777" w:rsidR="00714C04" w:rsidRDefault="00714C04" w:rsidP="00714C04">
      <w:pPr>
        <w:widowControl w:val="0"/>
        <w:rPr>
          <w:rFonts w:ascii="Arial" w:hAnsi="Arial" w:cs="Arial"/>
        </w:rPr>
      </w:pPr>
      <w:r>
        <w:rPr>
          <w:rFonts w:ascii="Arial" w:hAnsi="Arial" w:cs="Arial"/>
        </w:rPr>
        <w:t>Podpisová strana následuje.</w:t>
      </w:r>
    </w:p>
    <w:p w14:paraId="4530535A" w14:textId="77777777" w:rsidR="00714C04" w:rsidRDefault="00714C04" w:rsidP="00714C04">
      <w:pPr>
        <w:widowControl w:val="0"/>
        <w:rPr>
          <w:rFonts w:ascii="Arial" w:hAnsi="Arial" w:cs="Arial"/>
        </w:rPr>
      </w:pPr>
    </w:p>
    <w:p w14:paraId="69FA73B7" w14:textId="77777777" w:rsidR="00714C04" w:rsidRDefault="00714C04" w:rsidP="00714C04">
      <w:pPr>
        <w:rPr>
          <w:rFonts w:ascii="Arial" w:hAnsi="Arial" w:cs="Arial"/>
        </w:rPr>
      </w:pPr>
      <w:r>
        <w:rPr>
          <w:rFonts w:ascii="Arial" w:hAnsi="Arial" w:cs="Arial"/>
        </w:rPr>
        <w:br w:type="page"/>
      </w:r>
    </w:p>
    <w:p w14:paraId="48363362" w14:textId="77777777" w:rsidR="00714C04" w:rsidRDefault="00714C04" w:rsidP="00714C04">
      <w:pPr>
        <w:widowControl w:val="0"/>
        <w:rPr>
          <w:rFonts w:ascii="Arial" w:hAnsi="Arial" w:cs="Arial"/>
        </w:rPr>
      </w:pPr>
      <w:r>
        <w:rPr>
          <w:rFonts w:ascii="Arial" w:hAnsi="Arial" w:cs="Arial"/>
        </w:rPr>
        <w:lastRenderedPageBreak/>
        <w:t>Podpisová strana.</w:t>
      </w:r>
    </w:p>
    <w:p w14:paraId="625E12C3" w14:textId="77777777" w:rsidR="00714C04" w:rsidRDefault="00714C04" w:rsidP="00714C04">
      <w:pPr>
        <w:widowControl w:val="0"/>
        <w:rPr>
          <w:rFonts w:ascii="Arial" w:hAnsi="Arial" w:cs="Arial"/>
        </w:rPr>
      </w:pPr>
    </w:p>
    <w:p w14:paraId="4E02ACB7" w14:textId="77777777" w:rsidR="00714C04" w:rsidRDefault="00714C04" w:rsidP="00714C04">
      <w:pPr>
        <w:widowControl w:val="0"/>
        <w:rPr>
          <w:rFonts w:ascii="Arial" w:hAnsi="Arial" w:cs="Arial"/>
        </w:rPr>
      </w:pPr>
    </w:p>
    <w:p w14:paraId="57A8B535" w14:textId="77777777" w:rsidR="00714C04" w:rsidRDefault="00714C04" w:rsidP="00714C04">
      <w:pPr>
        <w:widowControl w:val="0"/>
        <w:ind w:left="425"/>
        <w:rPr>
          <w:rFonts w:ascii="Arial" w:hAnsi="Arial" w:cs="Arial"/>
        </w:rPr>
      </w:pPr>
    </w:p>
    <w:p w14:paraId="7E3C8C17" w14:textId="77777777" w:rsidR="00714C04" w:rsidRDefault="00714C04" w:rsidP="00714C04">
      <w:pPr>
        <w:widowControl w:val="0"/>
        <w:tabs>
          <w:tab w:val="left" w:pos="4536"/>
        </w:tabs>
        <w:rPr>
          <w:rFonts w:ascii="Arial" w:hAnsi="Arial" w:cs="Arial"/>
        </w:rPr>
      </w:pPr>
      <w:r>
        <w:rPr>
          <w:rFonts w:ascii="Arial" w:hAnsi="Arial" w:cs="Arial"/>
        </w:rPr>
        <w:t>V Karlových Varech dne 23.11.2021</w:t>
      </w:r>
      <w:r>
        <w:rPr>
          <w:rFonts w:ascii="Arial" w:hAnsi="Arial" w:cs="Arial"/>
        </w:rPr>
        <w:tab/>
      </w:r>
      <w:r>
        <w:rPr>
          <w:rFonts w:ascii="Arial" w:hAnsi="Arial" w:cs="Arial"/>
        </w:rPr>
        <w:tab/>
      </w:r>
      <w:r>
        <w:rPr>
          <w:rFonts w:ascii="Arial" w:hAnsi="Arial" w:cs="Arial"/>
        </w:rPr>
        <w:tab/>
        <w:t>V Nejdku dne 23.11.2021</w:t>
      </w:r>
    </w:p>
    <w:p w14:paraId="73D74663" w14:textId="77777777" w:rsidR="00714C04" w:rsidRDefault="00714C04" w:rsidP="00714C04">
      <w:pPr>
        <w:widowControl w:val="0"/>
        <w:ind w:left="425"/>
        <w:rPr>
          <w:rFonts w:ascii="Arial" w:hAnsi="Arial" w:cs="Arial"/>
          <w:b/>
        </w:rPr>
      </w:pPr>
    </w:p>
    <w:p w14:paraId="24B443DF" w14:textId="77777777" w:rsidR="00714C04" w:rsidRDefault="00714C04" w:rsidP="00714C04">
      <w:pPr>
        <w:widowControl w:val="0"/>
        <w:ind w:left="425"/>
        <w:rPr>
          <w:rFonts w:ascii="Arial" w:hAnsi="Arial" w:cs="Arial"/>
          <w:b/>
        </w:rPr>
      </w:pPr>
    </w:p>
    <w:p w14:paraId="329C77E3" w14:textId="77777777" w:rsidR="00714C04" w:rsidRDefault="00714C04" w:rsidP="00714C04">
      <w:pPr>
        <w:widowControl w:val="0"/>
        <w:ind w:left="5664" w:hanging="5664"/>
        <w:rPr>
          <w:rFonts w:ascii="Arial" w:hAnsi="Arial" w:cs="Arial"/>
          <w:b/>
        </w:rPr>
      </w:pPr>
      <w:r>
        <w:rPr>
          <w:rFonts w:ascii="Arial" w:hAnsi="Arial" w:cs="Arial"/>
          <w:b/>
        </w:rPr>
        <w:t>UniCredit Bank Czech Republic and Slovakia, a.s.</w:t>
      </w:r>
      <w:r>
        <w:rPr>
          <w:rFonts w:ascii="Arial" w:hAnsi="Arial" w:cs="Arial"/>
          <w:b/>
        </w:rPr>
        <w:tab/>
        <w:t>Domov se zvláštním režimem "MATYÁŠ" v Nejdku, příspěvková organizace</w:t>
      </w:r>
    </w:p>
    <w:p w14:paraId="37B009F2" w14:textId="77777777" w:rsidR="00714C04" w:rsidRDefault="00714C04" w:rsidP="00714C04">
      <w:pPr>
        <w:widowControl w:val="0"/>
        <w:rPr>
          <w:rFonts w:ascii="Arial" w:hAnsi="Arial" w:cs="Arial"/>
          <w:b/>
        </w:rPr>
      </w:pPr>
    </w:p>
    <w:p w14:paraId="777A5184" w14:textId="77777777" w:rsidR="00714C04" w:rsidRDefault="00714C04" w:rsidP="00714C04">
      <w:pPr>
        <w:widowControl w:val="0"/>
        <w:rPr>
          <w:rFonts w:ascii="Arial" w:hAnsi="Arial" w:cs="Arial"/>
          <w:b/>
        </w:rPr>
      </w:pPr>
    </w:p>
    <w:p w14:paraId="2A963588" w14:textId="77777777" w:rsidR="00714C04" w:rsidRDefault="00714C04" w:rsidP="00714C04">
      <w:pPr>
        <w:widowControl w:val="0"/>
        <w:rPr>
          <w:rFonts w:ascii="Arial" w:hAnsi="Arial" w:cs="Arial"/>
          <w:b/>
        </w:rPr>
      </w:pPr>
    </w:p>
    <w:p w14:paraId="5F90708E" w14:textId="77777777" w:rsidR="00714C04" w:rsidRDefault="00714C04" w:rsidP="00714C04">
      <w:pPr>
        <w:pStyle w:val="Nadpis4"/>
        <w:keepNext w:val="0"/>
        <w:widowControl w:val="0"/>
        <w:rPr>
          <w:rFonts w:ascii="Arial" w:hAnsi="Arial" w:cs="Arial"/>
          <w:i w:val="0"/>
          <w:smallCaps/>
          <w:color w:val="auto"/>
        </w:rPr>
      </w:pPr>
      <w:r>
        <w:rPr>
          <w:rFonts w:ascii="Arial" w:hAnsi="Arial" w:cs="Arial"/>
          <w:i w:val="0"/>
          <w:smallCaps/>
          <w:color w:val="auto"/>
        </w:rPr>
        <w:t xml:space="preserve"> </w:t>
      </w:r>
    </w:p>
    <w:sectPr w:rsidR="00714C04" w:rsidSect="00572FAD">
      <w:headerReference w:type="even" r:id="rId11"/>
      <w:headerReference w:type="default" r:id="rId12"/>
      <w:footerReference w:type="even" r:id="rId13"/>
      <w:footerReference w:type="default" r:id="rId14"/>
      <w:headerReference w:type="first" r:id="rId15"/>
      <w:footerReference w:type="first" r:id="rId16"/>
      <w:pgSz w:w="11907" w:h="16840" w:code="9"/>
      <w:pgMar w:top="1276" w:right="1321" w:bottom="1276" w:left="132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9CB9" w14:textId="77777777" w:rsidR="00D149F4" w:rsidRDefault="00D149F4">
      <w:r>
        <w:separator/>
      </w:r>
    </w:p>
  </w:endnote>
  <w:endnote w:type="continuationSeparator" w:id="0">
    <w:p w14:paraId="544C8B43" w14:textId="77777777" w:rsidR="00D149F4" w:rsidRDefault="00D149F4">
      <w:r>
        <w:continuationSeparator/>
      </w:r>
    </w:p>
  </w:endnote>
  <w:endnote w:type="continuationNotice" w:id="1">
    <w:p w14:paraId="43AF0272" w14:textId="77777777" w:rsidR="00D149F4" w:rsidRDefault="00D14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015TEE">
    <w:altName w:val="Times New Roman"/>
    <w:charset w:val="00"/>
    <w:family w:val="auto"/>
    <w:pitch w:val="variable"/>
    <w:sig w:usb0="00000007" w:usb1="00000000" w:usb2="00000000" w:usb3="00000000" w:csb0="00000083" w:csb1="00000000"/>
  </w:font>
  <w:font w:name="F015TEELig">
    <w:altName w:val="Times New Roman"/>
    <w:charset w:val="00"/>
    <w:family w:val="auto"/>
    <w:pitch w:val="variable"/>
    <w:sig w:usb0="00000007" w:usb1="00000000" w:usb2="00000000" w:usb3="00000000" w:csb0="00000083" w:csb1="00000000"/>
  </w:font>
  <w:font w:name="NimbusSanDEELig">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4A46" w14:textId="77777777" w:rsidR="00B919B0" w:rsidRDefault="00B919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BE0A" w14:textId="77777777" w:rsidR="009D67C5" w:rsidRDefault="009D67C5">
    <w:pPr>
      <w:pStyle w:val="Zpat"/>
      <w:jc w:val="center"/>
      <w:rPr>
        <w:rFonts w:ascii="F015TEE" w:hAnsi="F015TEE"/>
      </w:rPr>
    </w:pPr>
    <w:r>
      <w:rPr>
        <w:rStyle w:val="slostrnky"/>
        <w:rFonts w:ascii="F015TEE" w:hAnsi="F015TEE"/>
      </w:rPr>
      <w:fldChar w:fldCharType="begin"/>
    </w:r>
    <w:r>
      <w:rPr>
        <w:rStyle w:val="slostrnky"/>
        <w:rFonts w:ascii="F015TEE" w:hAnsi="F015TEE"/>
      </w:rPr>
      <w:instrText xml:space="preserve"> PAGE </w:instrText>
    </w:r>
    <w:r>
      <w:rPr>
        <w:rStyle w:val="slostrnky"/>
        <w:rFonts w:ascii="F015TEE" w:hAnsi="F015TEE"/>
      </w:rPr>
      <w:fldChar w:fldCharType="separate"/>
    </w:r>
    <w:r w:rsidR="00980AA0">
      <w:rPr>
        <w:rStyle w:val="slostrnky"/>
        <w:rFonts w:ascii="F015TEE" w:hAnsi="F015TEE"/>
        <w:noProof/>
      </w:rPr>
      <w:t>16</w:t>
    </w:r>
    <w:r>
      <w:rPr>
        <w:rStyle w:val="slostrnky"/>
        <w:rFonts w:ascii="F015TEE" w:hAnsi="F015TEE"/>
      </w:rPr>
      <w:fldChar w:fldCharType="end"/>
    </w:r>
  </w:p>
  <w:p w14:paraId="06516911" w14:textId="77777777" w:rsidR="009D67C5" w:rsidRDefault="009D67C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7E95" w14:textId="77777777" w:rsidR="009D67C5" w:rsidRPr="000A7042" w:rsidRDefault="009D67C5" w:rsidP="00CC5A6B">
    <w:pPr>
      <w:pStyle w:val="Zpat"/>
      <w:jc w:val="right"/>
      <w:rPr>
        <w:rFonts w:ascii="Tahoma" w:hAnsi="Tahoma" w:cs="Tahoma"/>
        <w:i/>
        <w:sz w:val="18"/>
        <w:szCs w:val="18"/>
        <w:lang w:val="cs-CZ"/>
      </w:rPr>
    </w:pPr>
    <w:r>
      <w:rPr>
        <w:rFonts w:ascii="Tahoma" w:hAnsi="Tahoma" w:cs="Tahoma"/>
        <w:i/>
        <w:sz w:val="18"/>
        <w:szCs w:val="18"/>
        <w:lang w:val="cs-CZ"/>
      </w:rPr>
      <w:t xml:space="preserve">ID </w:t>
    </w:r>
    <w:r w:rsidRPr="000A7042">
      <w:rPr>
        <w:rFonts w:ascii="Tahoma" w:hAnsi="Tahoma" w:cs="Tahoma"/>
        <w:i/>
        <w:sz w:val="18"/>
        <w:szCs w:val="18"/>
        <w:lang w:val="cs-CZ"/>
      </w:rPr>
      <w:t>21</w:t>
    </w:r>
  </w:p>
  <w:p w14:paraId="377411F1" w14:textId="77777777" w:rsidR="009D67C5" w:rsidRDefault="009D67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37D7" w14:textId="77777777" w:rsidR="00D149F4" w:rsidRDefault="00D149F4">
      <w:r>
        <w:separator/>
      </w:r>
    </w:p>
  </w:footnote>
  <w:footnote w:type="continuationSeparator" w:id="0">
    <w:p w14:paraId="5501CFF6" w14:textId="77777777" w:rsidR="00D149F4" w:rsidRDefault="00D149F4">
      <w:r>
        <w:continuationSeparator/>
      </w:r>
    </w:p>
  </w:footnote>
  <w:footnote w:type="continuationNotice" w:id="1">
    <w:p w14:paraId="62E3010B" w14:textId="77777777" w:rsidR="00D149F4" w:rsidRDefault="00D14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B912" w14:textId="11A94E19" w:rsidR="00B919B0" w:rsidRDefault="00B919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5690" w14:textId="2725DB38" w:rsidR="009D67C5" w:rsidRDefault="009D67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C9E3" w14:textId="00DF4D68" w:rsidR="009D67C5" w:rsidRDefault="009D67C5" w:rsidP="00DE7D07">
    <w:pPr>
      <w:pStyle w:val="Zhlav"/>
      <w:jc w:val="left"/>
      <w:rPr>
        <w:rFonts w:ascii="F015TEELig" w:hAnsi="F015TEELig"/>
      </w:rPr>
    </w:pPr>
    <w:r>
      <w:rPr>
        <w:rFonts w:ascii="Arial" w:hAnsi="Arial" w:cs="Arial"/>
        <w:noProof/>
        <w:lang w:eastAsia="en-US"/>
      </w:rPr>
      <w:drawing>
        <wp:inline distT="0" distB="0" distL="0" distR="0" wp14:anchorId="31DBC15C" wp14:editId="5695C581">
          <wp:extent cx="1938655" cy="399415"/>
          <wp:effectExtent l="0" t="0" r="4445" b="635"/>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399415"/>
                  </a:xfrm>
                  <a:prstGeom prst="rect">
                    <a:avLst/>
                  </a:prstGeom>
                  <a:noFill/>
                  <a:ln>
                    <a:noFill/>
                  </a:ln>
                </pic:spPr>
              </pic:pic>
            </a:graphicData>
          </a:graphic>
        </wp:inline>
      </w:drawing>
    </w: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D4E26"/>
    <w:multiLevelType w:val="hybridMultilevel"/>
    <w:tmpl w:val="7A34B0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F7204"/>
    <w:multiLevelType w:val="hybridMultilevel"/>
    <w:tmpl w:val="C3A40D06"/>
    <w:lvl w:ilvl="0" w:tplc="F732CB82">
      <w:start w:val="1"/>
      <w:numFmt w:val="bullet"/>
      <w:lvlText w:val="-"/>
      <w:lvlJc w:val="left"/>
      <w:pPr>
        <w:ind w:left="1914" w:hanging="360"/>
      </w:pPr>
      <w:rPr>
        <w:rFonts w:ascii="Arial" w:eastAsia="Times New Roman" w:hAnsi="Arial" w:cs="Arial" w:hint="default"/>
        <w:b w:val="0"/>
        <w:color w:val="auto"/>
      </w:rPr>
    </w:lvl>
    <w:lvl w:ilvl="1" w:tplc="04090003" w:tentative="1">
      <w:start w:val="1"/>
      <w:numFmt w:val="bullet"/>
      <w:lvlText w:val="o"/>
      <w:lvlJc w:val="left"/>
      <w:pPr>
        <w:ind w:left="2634" w:hanging="360"/>
      </w:pPr>
      <w:rPr>
        <w:rFonts w:ascii="Courier New" w:hAnsi="Courier New" w:cs="Courier New" w:hint="default"/>
      </w:rPr>
    </w:lvl>
    <w:lvl w:ilvl="2" w:tplc="04090005" w:tentative="1">
      <w:start w:val="1"/>
      <w:numFmt w:val="bullet"/>
      <w:lvlText w:val=""/>
      <w:lvlJc w:val="left"/>
      <w:pPr>
        <w:ind w:left="3354" w:hanging="360"/>
      </w:pPr>
      <w:rPr>
        <w:rFonts w:ascii="Wingdings" w:hAnsi="Wingdings" w:hint="default"/>
      </w:rPr>
    </w:lvl>
    <w:lvl w:ilvl="3" w:tplc="04090001" w:tentative="1">
      <w:start w:val="1"/>
      <w:numFmt w:val="bullet"/>
      <w:lvlText w:val=""/>
      <w:lvlJc w:val="left"/>
      <w:pPr>
        <w:ind w:left="4074" w:hanging="360"/>
      </w:pPr>
      <w:rPr>
        <w:rFonts w:ascii="Symbol" w:hAnsi="Symbol" w:hint="default"/>
      </w:rPr>
    </w:lvl>
    <w:lvl w:ilvl="4" w:tplc="04090003" w:tentative="1">
      <w:start w:val="1"/>
      <w:numFmt w:val="bullet"/>
      <w:lvlText w:val="o"/>
      <w:lvlJc w:val="left"/>
      <w:pPr>
        <w:ind w:left="4794" w:hanging="360"/>
      </w:pPr>
      <w:rPr>
        <w:rFonts w:ascii="Courier New" w:hAnsi="Courier New" w:cs="Courier New" w:hint="default"/>
      </w:rPr>
    </w:lvl>
    <w:lvl w:ilvl="5" w:tplc="04090005" w:tentative="1">
      <w:start w:val="1"/>
      <w:numFmt w:val="bullet"/>
      <w:lvlText w:val=""/>
      <w:lvlJc w:val="left"/>
      <w:pPr>
        <w:ind w:left="5514" w:hanging="360"/>
      </w:pPr>
      <w:rPr>
        <w:rFonts w:ascii="Wingdings" w:hAnsi="Wingdings" w:hint="default"/>
      </w:rPr>
    </w:lvl>
    <w:lvl w:ilvl="6" w:tplc="04090001" w:tentative="1">
      <w:start w:val="1"/>
      <w:numFmt w:val="bullet"/>
      <w:lvlText w:val=""/>
      <w:lvlJc w:val="left"/>
      <w:pPr>
        <w:ind w:left="6234" w:hanging="360"/>
      </w:pPr>
      <w:rPr>
        <w:rFonts w:ascii="Symbol" w:hAnsi="Symbol" w:hint="default"/>
      </w:rPr>
    </w:lvl>
    <w:lvl w:ilvl="7" w:tplc="04090003" w:tentative="1">
      <w:start w:val="1"/>
      <w:numFmt w:val="bullet"/>
      <w:lvlText w:val="o"/>
      <w:lvlJc w:val="left"/>
      <w:pPr>
        <w:ind w:left="6954" w:hanging="360"/>
      </w:pPr>
      <w:rPr>
        <w:rFonts w:ascii="Courier New" w:hAnsi="Courier New" w:cs="Courier New" w:hint="default"/>
      </w:rPr>
    </w:lvl>
    <w:lvl w:ilvl="8" w:tplc="04090005" w:tentative="1">
      <w:start w:val="1"/>
      <w:numFmt w:val="bullet"/>
      <w:lvlText w:val=""/>
      <w:lvlJc w:val="left"/>
      <w:pPr>
        <w:ind w:left="7674" w:hanging="360"/>
      </w:pPr>
      <w:rPr>
        <w:rFonts w:ascii="Wingdings" w:hAnsi="Wingdings" w:hint="default"/>
      </w:rPr>
    </w:lvl>
  </w:abstractNum>
  <w:abstractNum w:abstractNumId="3" w15:restartNumberingAfterBreak="0">
    <w:nsid w:val="0E1D19CE"/>
    <w:multiLevelType w:val="hybridMultilevel"/>
    <w:tmpl w:val="33046DC0"/>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2ECB6963"/>
    <w:multiLevelType w:val="hybridMultilevel"/>
    <w:tmpl w:val="BF906C46"/>
    <w:lvl w:ilvl="0" w:tplc="FFFFFFFF">
      <w:start w:val="2"/>
      <w:numFmt w:val="lowerLetter"/>
      <w:lvlText w:val="%1)"/>
      <w:lvlJc w:val="left"/>
      <w:pPr>
        <w:tabs>
          <w:tab w:val="num" w:pos="1634"/>
        </w:tabs>
        <w:ind w:left="1634" w:hanging="360"/>
      </w:pPr>
      <w:rPr>
        <w:rFonts w:hint="default"/>
        <w:b w:val="0"/>
      </w:rPr>
    </w:lvl>
    <w:lvl w:ilvl="1" w:tplc="FFFFFFFF">
      <w:start w:val="1"/>
      <w:numFmt w:val="upperRoman"/>
      <w:lvlText w:val="%2)"/>
      <w:lvlJc w:val="left"/>
      <w:pPr>
        <w:tabs>
          <w:tab w:val="num" w:pos="2714"/>
        </w:tabs>
        <w:ind w:left="2714" w:hanging="720"/>
      </w:pPr>
      <w:rPr>
        <w:rFonts w:hint="default"/>
      </w:rPr>
    </w:lvl>
    <w:lvl w:ilvl="2" w:tplc="FFFFFFFF" w:tentative="1">
      <w:start w:val="1"/>
      <w:numFmt w:val="lowerRoman"/>
      <w:lvlText w:val="%3."/>
      <w:lvlJc w:val="right"/>
      <w:pPr>
        <w:tabs>
          <w:tab w:val="num" w:pos="3074"/>
        </w:tabs>
        <w:ind w:left="3074" w:hanging="180"/>
      </w:pPr>
    </w:lvl>
    <w:lvl w:ilvl="3" w:tplc="FFFFFFFF" w:tentative="1">
      <w:start w:val="1"/>
      <w:numFmt w:val="decimal"/>
      <w:lvlText w:val="%4."/>
      <w:lvlJc w:val="left"/>
      <w:pPr>
        <w:tabs>
          <w:tab w:val="num" w:pos="3794"/>
        </w:tabs>
        <w:ind w:left="3794" w:hanging="360"/>
      </w:pPr>
    </w:lvl>
    <w:lvl w:ilvl="4" w:tplc="FFFFFFFF" w:tentative="1">
      <w:start w:val="1"/>
      <w:numFmt w:val="lowerLetter"/>
      <w:lvlText w:val="%5."/>
      <w:lvlJc w:val="left"/>
      <w:pPr>
        <w:tabs>
          <w:tab w:val="num" w:pos="4514"/>
        </w:tabs>
        <w:ind w:left="4514" w:hanging="360"/>
      </w:pPr>
    </w:lvl>
    <w:lvl w:ilvl="5" w:tplc="FFFFFFFF" w:tentative="1">
      <w:start w:val="1"/>
      <w:numFmt w:val="lowerRoman"/>
      <w:lvlText w:val="%6."/>
      <w:lvlJc w:val="right"/>
      <w:pPr>
        <w:tabs>
          <w:tab w:val="num" w:pos="5234"/>
        </w:tabs>
        <w:ind w:left="5234" w:hanging="180"/>
      </w:pPr>
    </w:lvl>
    <w:lvl w:ilvl="6" w:tplc="FFFFFFFF" w:tentative="1">
      <w:start w:val="1"/>
      <w:numFmt w:val="decimal"/>
      <w:lvlText w:val="%7."/>
      <w:lvlJc w:val="left"/>
      <w:pPr>
        <w:tabs>
          <w:tab w:val="num" w:pos="5954"/>
        </w:tabs>
        <w:ind w:left="5954" w:hanging="360"/>
      </w:pPr>
    </w:lvl>
    <w:lvl w:ilvl="7" w:tplc="FFFFFFFF" w:tentative="1">
      <w:start w:val="1"/>
      <w:numFmt w:val="lowerLetter"/>
      <w:lvlText w:val="%8."/>
      <w:lvlJc w:val="left"/>
      <w:pPr>
        <w:tabs>
          <w:tab w:val="num" w:pos="6674"/>
        </w:tabs>
        <w:ind w:left="6674" w:hanging="360"/>
      </w:pPr>
    </w:lvl>
    <w:lvl w:ilvl="8" w:tplc="FFFFFFFF" w:tentative="1">
      <w:start w:val="1"/>
      <w:numFmt w:val="lowerRoman"/>
      <w:lvlText w:val="%9."/>
      <w:lvlJc w:val="right"/>
      <w:pPr>
        <w:tabs>
          <w:tab w:val="num" w:pos="7394"/>
        </w:tabs>
        <w:ind w:left="7394" w:hanging="180"/>
      </w:pPr>
    </w:lvl>
  </w:abstractNum>
  <w:abstractNum w:abstractNumId="5" w15:restartNumberingAfterBreak="0">
    <w:nsid w:val="332423BF"/>
    <w:multiLevelType w:val="multilevel"/>
    <w:tmpl w:val="22DA642C"/>
    <w:lvl w:ilvl="0">
      <w:start w:val="9"/>
      <w:numFmt w:val="lowerLetter"/>
      <w:lvlText w:val="%1)"/>
      <w:lvlJc w:val="left"/>
      <w:pPr>
        <w:tabs>
          <w:tab w:val="num" w:pos="1170"/>
        </w:tabs>
        <w:ind w:left="1170" w:hanging="360"/>
      </w:pPr>
      <w:rPr>
        <w:rFonts w:hint="default"/>
      </w:rPr>
    </w:lvl>
    <w:lvl w:ilvl="1">
      <w:start w:val="1"/>
      <w:numFmt w:val="upperRoman"/>
      <w:lvlText w:val="%2)"/>
      <w:lvlJc w:val="left"/>
      <w:pPr>
        <w:tabs>
          <w:tab w:val="num" w:pos="1865"/>
        </w:tabs>
        <w:ind w:left="1865" w:hanging="720"/>
      </w:pPr>
      <w:rPr>
        <w:rFonts w:hint="default"/>
      </w:rPr>
    </w:lvl>
    <w:lvl w:ilvl="2" w:tentative="1">
      <w:start w:val="1"/>
      <w:numFmt w:val="lowerRoman"/>
      <w:lvlText w:val="%3."/>
      <w:lvlJc w:val="right"/>
      <w:pPr>
        <w:tabs>
          <w:tab w:val="num" w:pos="2225"/>
        </w:tabs>
        <w:ind w:left="2225" w:hanging="180"/>
      </w:pPr>
    </w:lvl>
    <w:lvl w:ilvl="3" w:tentative="1">
      <w:start w:val="1"/>
      <w:numFmt w:val="decimal"/>
      <w:lvlText w:val="%4."/>
      <w:lvlJc w:val="left"/>
      <w:pPr>
        <w:tabs>
          <w:tab w:val="num" w:pos="2945"/>
        </w:tabs>
        <w:ind w:left="2945" w:hanging="360"/>
      </w:pPr>
    </w:lvl>
    <w:lvl w:ilvl="4" w:tentative="1">
      <w:start w:val="1"/>
      <w:numFmt w:val="lowerLetter"/>
      <w:lvlText w:val="%5."/>
      <w:lvlJc w:val="left"/>
      <w:pPr>
        <w:tabs>
          <w:tab w:val="num" w:pos="3665"/>
        </w:tabs>
        <w:ind w:left="3665" w:hanging="360"/>
      </w:pPr>
    </w:lvl>
    <w:lvl w:ilvl="5" w:tentative="1">
      <w:start w:val="1"/>
      <w:numFmt w:val="lowerRoman"/>
      <w:lvlText w:val="%6."/>
      <w:lvlJc w:val="right"/>
      <w:pPr>
        <w:tabs>
          <w:tab w:val="num" w:pos="4385"/>
        </w:tabs>
        <w:ind w:left="4385" w:hanging="180"/>
      </w:pPr>
    </w:lvl>
    <w:lvl w:ilvl="6" w:tentative="1">
      <w:start w:val="1"/>
      <w:numFmt w:val="decimal"/>
      <w:lvlText w:val="%7."/>
      <w:lvlJc w:val="left"/>
      <w:pPr>
        <w:tabs>
          <w:tab w:val="num" w:pos="5105"/>
        </w:tabs>
        <w:ind w:left="5105" w:hanging="360"/>
      </w:pPr>
    </w:lvl>
    <w:lvl w:ilvl="7" w:tentative="1">
      <w:start w:val="1"/>
      <w:numFmt w:val="lowerLetter"/>
      <w:lvlText w:val="%8."/>
      <w:lvlJc w:val="left"/>
      <w:pPr>
        <w:tabs>
          <w:tab w:val="num" w:pos="5825"/>
        </w:tabs>
        <w:ind w:left="5825" w:hanging="360"/>
      </w:pPr>
    </w:lvl>
    <w:lvl w:ilvl="8" w:tentative="1">
      <w:start w:val="1"/>
      <w:numFmt w:val="lowerRoman"/>
      <w:lvlText w:val="%9."/>
      <w:lvlJc w:val="right"/>
      <w:pPr>
        <w:tabs>
          <w:tab w:val="num" w:pos="6545"/>
        </w:tabs>
        <w:ind w:left="6545" w:hanging="180"/>
      </w:pPr>
    </w:lvl>
  </w:abstractNum>
  <w:abstractNum w:abstractNumId="6" w15:restartNumberingAfterBreak="0">
    <w:nsid w:val="37283A8F"/>
    <w:multiLevelType w:val="hybridMultilevel"/>
    <w:tmpl w:val="6BA8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774AA"/>
    <w:multiLevelType w:val="hybridMultilevel"/>
    <w:tmpl w:val="0EB6B4FC"/>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F27B84"/>
    <w:multiLevelType w:val="hybridMultilevel"/>
    <w:tmpl w:val="1BDE6F8A"/>
    <w:lvl w:ilvl="0" w:tplc="4170C0D4">
      <w:start w:val="10"/>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41150F62"/>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479909F5"/>
    <w:multiLevelType w:val="hybridMultilevel"/>
    <w:tmpl w:val="83A25454"/>
    <w:lvl w:ilvl="0" w:tplc="AF3C098C">
      <w:start w:val="2"/>
      <w:numFmt w:val="lowerLetter"/>
      <w:lvlText w:val="%1)"/>
      <w:lvlJc w:val="left"/>
      <w:pPr>
        <w:tabs>
          <w:tab w:val="num" w:pos="1351"/>
        </w:tabs>
        <w:ind w:left="1351" w:hanging="360"/>
      </w:pPr>
      <w:rPr>
        <w:rFonts w:hint="default"/>
      </w:rPr>
    </w:lvl>
    <w:lvl w:ilvl="1" w:tplc="04050019" w:tentative="1">
      <w:start w:val="1"/>
      <w:numFmt w:val="lowerLetter"/>
      <w:lvlText w:val="%2."/>
      <w:lvlJc w:val="left"/>
      <w:pPr>
        <w:tabs>
          <w:tab w:val="num" w:pos="2071"/>
        </w:tabs>
        <w:ind w:left="2071" w:hanging="360"/>
      </w:pPr>
    </w:lvl>
    <w:lvl w:ilvl="2" w:tplc="0405001B" w:tentative="1">
      <w:start w:val="1"/>
      <w:numFmt w:val="lowerRoman"/>
      <w:lvlText w:val="%3."/>
      <w:lvlJc w:val="right"/>
      <w:pPr>
        <w:tabs>
          <w:tab w:val="num" w:pos="2791"/>
        </w:tabs>
        <w:ind w:left="2791" w:hanging="180"/>
      </w:pPr>
    </w:lvl>
    <w:lvl w:ilvl="3" w:tplc="0405000F" w:tentative="1">
      <w:start w:val="1"/>
      <w:numFmt w:val="decimal"/>
      <w:lvlText w:val="%4."/>
      <w:lvlJc w:val="left"/>
      <w:pPr>
        <w:tabs>
          <w:tab w:val="num" w:pos="3511"/>
        </w:tabs>
        <w:ind w:left="3511" w:hanging="360"/>
      </w:pPr>
    </w:lvl>
    <w:lvl w:ilvl="4" w:tplc="04050019" w:tentative="1">
      <w:start w:val="1"/>
      <w:numFmt w:val="lowerLetter"/>
      <w:lvlText w:val="%5."/>
      <w:lvlJc w:val="left"/>
      <w:pPr>
        <w:tabs>
          <w:tab w:val="num" w:pos="4231"/>
        </w:tabs>
        <w:ind w:left="4231" w:hanging="360"/>
      </w:pPr>
    </w:lvl>
    <w:lvl w:ilvl="5" w:tplc="0405001B" w:tentative="1">
      <w:start w:val="1"/>
      <w:numFmt w:val="lowerRoman"/>
      <w:lvlText w:val="%6."/>
      <w:lvlJc w:val="right"/>
      <w:pPr>
        <w:tabs>
          <w:tab w:val="num" w:pos="4951"/>
        </w:tabs>
        <w:ind w:left="4951" w:hanging="180"/>
      </w:pPr>
    </w:lvl>
    <w:lvl w:ilvl="6" w:tplc="0405000F" w:tentative="1">
      <w:start w:val="1"/>
      <w:numFmt w:val="decimal"/>
      <w:lvlText w:val="%7."/>
      <w:lvlJc w:val="left"/>
      <w:pPr>
        <w:tabs>
          <w:tab w:val="num" w:pos="5671"/>
        </w:tabs>
        <w:ind w:left="5671" w:hanging="360"/>
      </w:pPr>
    </w:lvl>
    <w:lvl w:ilvl="7" w:tplc="04050019" w:tentative="1">
      <w:start w:val="1"/>
      <w:numFmt w:val="lowerLetter"/>
      <w:lvlText w:val="%8."/>
      <w:lvlJc w:val="left"/>
      <w:pPr>
        <w:tabs>
          <w:tab w:val="num" w:pos="6391"/>
        </w:tabs>
        <w:ind w:left="6391" w:hanging="360"/>
      </w:pPr>
    </w:lvl>
    <w:lvl w:ilvl="8" w:tplc="0405001B" w:tentative="1">
      <w:start w:val="1"/>
      <w:numFmt w:val="lowerRoman"/>
      <w:lvlText w:val="%9."/>
      <w:lvlJc w:val="right"/>
      <w:pPr>
        <w:tabs>
          <w:tab w:val="num" w:pos="7111"/>
        </w:tabs>
        <w:ind w:left="7111" w:hanging="180"/>
      </w:pPr>
    </w:lvl>
  </w:abstractNum>
  <w:abstractNum w:abstractNumId="11" w15:restartNumberingAfterBreak="0">
    <w:nsid w:val="48872B64"/>
    <w:multiLevelType w:val="hybridMultilevel"/>
    <w:tmpl w:val="C5AE2E60"/>
    <w:lvl w:ilvl="0" w:tplc="B450ED7E">
      <w:start w:val="1"/>
      <w:numFmt w:val="decimal"/>
      <w:lvlText w:val="%1."/>
      <w:lvlJc w:val="left"/>
      <w:pPr>
        <w:ind w:left="1518" w:hanging="81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56A12149"/>
    <w:multiLevelType w:val="multilevel"/>
    <w:tmpl w:val="C58C487E"/>
    <w:lvl w:ilvl="0">
      <w:start w:val="1"/>
      <w:numFmt w:val="decimal"/>
      <w:lvlText w:val="%1."/>
      <w:lvlJc w:val="left"/>
      <w:pPr>
        <w:ind w:left="720" w:hanging="360"/>
      </w:pPr>
      <w:rPr>
        <w:rFonts w:cs="Times New Roman"/>
        <w:b w:val="0"/>
      </w:rPr>
    </w:lvl>
    <w:lvl w:ilvl="1">
      <w:start w:val="8"/>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621930CB"/>
    <w:multiLevelType w:val="hybridMultilevel"/>
    <w:tmpl w:val="7F8EF294"/>
    <w:lvl w:ilvl="0" w:tplc="CC04565A">
      <w:start w:val="16"/>
      <w:numFmt w:val="bullet"/>
      <w:lvlText w:val="-"/>
      <w:lvlJc w:val="left"/>
      <w:pPr>
        <w:ind w:left="786" w:hanging="360"/>
      </w:pPr>
      <w:rPr>
        <w:rFonts w:ascii="Calibri" w:eastAsia="Times New Roman" w:hAnsi="Calibri" w:cs="Calibri"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D14E36"/>
    <w:multiLevelType w:val="singleLevel"/>
    <w:tmpl w:val="4C6E7012"/>
    <w:lvl w:ilvl="0">
      <w:start w:val="1"/>
      <w:numFmt w:val="decimal"/>
      <w:lvlText w:val="%1."/>
      <w:lvlJc w:val="left"/>
      <w:pPr>
        <w:tabs>
          <w:tab w:val="num" w:pos="420"/>
        </w:tabs>
        <w:ind w:left="420" w:hanging="420"/>
      </w:pPr>
      <w:rPr>
        <w:rFonts w:hint="default"/>
        <w:b w:val="0"/>
      </w:rPr>
    </w:lvl>
  </w:abstractNum>
  <w:num w:numId="1">
    <w:abstractNumId w:val="9"/>
  </w:num>
  <w:num w:numId="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3">
    <w:abstractNumId w:val="14"/>
  </w:num>
  <w:num w:numId="4">
    <w:abstractNumId w:val="4"/>
  </w:num>
  <w:num w:numId="5">
    <w:abstractNumId w:val="5"/>
  </w:num>
  <w:num w:numId="6">
    <w:abstractNumId w:val="10"/>
  </w:num>
  <w:num w:numId="7">
    <w:abstractNumId w:val="11"/>
  </w:num>
  <w:num w:numId="8">
    <w:abstractNumId w:val="2"/>
  </w:num>
  <w:num w:numId="9">
    <w:abstractNumId w:val="7"/>
  </w:num>
  <w:num w:numId="10">
    <w:abstractNumId w:val="1"/>
  </w:num>
  <w:num w:numId="11">
    <w:abstractNumId w:val="8"/>
  </w:num>
  <w:num w:numId="12">
    <w:abstractNumId w:val="12"/>
  </w:num>
  <w:num w:numId="13">
    <w:abstractNumId w:val="6"/>
  </w:num>
  <w:num w:numId="14">
    <w:abstractNumId w:val="1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8" w:dllVersion="513" w:checkStyle="1"/>
  <w:activeWritingStyle w:appName="MSWord" w:lang="de-DE" w:vendorID="9"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47"/>
    <w:rsid w:val="00001C40"/>
    <w:rsid w:val="00002104"/>
    <w:rsid w:val="00002B1F"/>
    <w:rsid w:val="00005602"/>
    <w:rsid w:val="00010493"/>
    <w:rsid w:val="00010CC9"/>
    <w:rsid w:val="00013D18"/>
    <w:rsid w:val="00014BD6"/>
    <w:rsid w:val="0001505C"/>
    <w:rsid w:val="00015159"/>
    <w:rsid w:val="00015CBE"/>
    <w:rsid w:val="00015D48"/>
    <w:rsid w:val="00017C1C"/>
    <w:rsid w:val="0002129D"/>
    <w:rsid w:val="00021C02"/>
    <w:rsid w:val="000226DD"/>
    <w:rsid w:val="0002562E"/>
    <w:rsid w:val="000302F4"/>
    <w:rsid w:val="000310CC"/>
    <w:rsid w:val="00031BA1"/>
    <w:rsid w:val="00031C81"/>
    <w:rsid w:val="00036452"/>
    <w:rsid w:val="000364E6"/>
    <w:rsid w:val="00040134"/>
    <w:rsid w:val="0004321C"/>
    <w:rsid w:val="00044462"/>
    <w:rsid w:val="00050DB1"/>
    <w:rsid w:val="000536CE"/>
    <w:rsid w:val="000538DD"/>
    <w:rsid w:val="000559EF"/>
    <w:rsid w:val="000566AC"/>
    <w:rsid w:val="00057C2E"/>
    <w:rsid w:val="00063BDD"/>
    <w:rsid w:val="000655A8"/>
    <w:rsid w:val="000665D6"/>
    <w:rsid w:val="00071F35"/>
    <w:rsid w:val="00074BE9"/>
    <w:rsid w:val="00076E8B"/>
    <w:rsid w:val="00080D71"/>
    <w:rsid w:val="0008401D"/>
    <w:rsid w:val="0008478A"/>
    <w:rsid w:val="000863B7"/>
    <w:rsid w:val="000917F0"/>
    <w:rsid w:val="00092811"/>
    <w:rsid w:val="000968B5"/>
    <w:rsid w:val="000A00EF"/>
    <w:rsid w:val="000A09E8"/>
    <w:rsid w:val="000A161A"/>
    <w:rsid w:val="000A3680"/>
    <w:rsid w:val="000A4A01"/>
    <w:rsid w:val="000A5E68"/>
    <w:rsid w:val="000B0646"/>
    <w:rsid w:val="000B0CC9"/>
    <w:rsid w:val="000B2E42"/>
    <w:rsid w:val="000B65C0"/>
    <w:rsid w:val="000C0067"/>
    <w:rsid w:val="000C25AB"/>
    <w:rsid w:val="000C27B8"/>
    <w:rsid w:val="000C4357"/>
    <w:rsid w:val="000C5441"/>
    <w:rsid w:val="000C5D75"/>
    <w:rsid w:val="000C6B1E"/>
    <w:rsid w:val="000C70FF"/>
    <w:rsid w:val="000D1145"/>
    <w:rsid w:val="000D137C"/>
    <w:rsid w:val="000D1F7F"/>
    <w:rsid w:val="000D2301"/>
    <w:rsid w:val="000D2B07"/>
    <w:rsid w:val="000D3CE4"/>
    <w:rsid w:val="000E23BD"/>
    <w:rsid w:val="000E2663"/>
    <w:rsid w:val="000E55D7"/>
    <w:rsid w:val="000E7E07"/>
    <w:rsid w:val="000F132C"/>
    <w:rsid w:val="000F1810"/>
    <w:rsid w:val="000F201A"/>
    <w:rsid w:val="000F5EA8"/>
    <w:rsid w:val="000F6476"/>
    <w:rsid w:val="000F7431"/>
    <w:rsid w:val="00100DA7"/>
    <w:rsid w:val="00100E93"/>
    <w:rsid w:val="001016C8"/>
    <w:rsid w:val="00101FA8"/>
    <w:rsid w:val="001048E2"/>
    <w:rsid w:val="00105BE6"/>
    <w:rsid w:val="00106ADF"/>
    <w:rsid w:val="00111822"/>
    <w:rsid w:val="00112B14"/>
    <w:rsid w:val="001140F3"/>
    <w:rsid w:val="00114D0D"/>
    <w:rsid w:val="00115409"/>
    <w:rsid w:val="001213DA"/>
    <w:rsid w:val="00121DF1"/>
    <w:rsid w:val="00124396"/>
    <w:rsid w:val="00124776"/>
    <w:rsid w:val="0012563F"/>
    <w:rsid w:val="00125BBD"/>
    <w:rsid w:val="00127FA0"/>
    <w:rsid w:val="00131FD7"/>
    <w:rsid w:val="00133113"/>
    <w:rsid w:val="0013387D"/>
    <w:rsid w:val="00133F91"/>
    <w:rsid w:val="0013425E"/>
    <w:rsid w:val="00136E92"/>
    <w:rsid w:val="00147369"/>
    <w:rsid w:val="0015273E"/>
    <w:rsid w:val="00154A6C"/>
    <w:rsid w:val="00154BFB"/>
    <w:rsid w:val="00155BE8"/>
    <w:rsid w:val="001561E1"/>
    <w:rsid w:val="00156B82"/>
    <w:rsid w:val="001615ED"/>
    <w:rsid w:val="00162446"/>
    <w:rsid w:val="00163C11"/>
    <w:rsid w:val="00164601"/>
    <w:rsid w:val="00164EA4"/>
    <w:rsid w:val="001720FC"/>
    <w:rsid w:val="00180CBD"/>
    <w:rsid w:val="00181078"/>
    <w:rsid w:val="00184CBC"/>
    <w:rsid w:val="00186BD9"/>
    <w:rsid w:val="00187195"/>
    <w:rsid w:val="0019261D"/>
    <w:rsid w:val="0019282C"/>
    <w:rsid w:val="00192CA8"/>
    <w:rsid w:val="0019389C"/>
    <w:rsid w:val="00193FA6"/>
    <w:rsid w:val="00196B2A"/>
    <w:rsid w:val="001A0AD5"/>
    <w:rsid w:val="001A1122"/>
    <w:rsid w:val="001A3413"/>
    <w:rsid w:val="001A383E"/>
    <w:rsid w:val="001A47B9"/>
    <w:rsid w:val="001A49FA"/>
    <w:rsid w:val="001A53D4"/>
    <w:rsid w:val="001A5F33"/>
    <w:rsid w:val="001B287D"/>
    <w:rsid w:val="001B2FDE"/>
    <w:rsid w:val="001B4195"/>
    <w:rsid w:val="001C0AC1"/>
    <w:rsid w:val="001C28AD"/>
    <w:rsid w:val="001C5AEC"/>
    <w:rsid w:val="001D0AFC"/>
    <w:rsid w:val="001D1307"/>
    <w:rsid w:val="001D131D"/>
    <w:rsid w:val="001D1DA4"/>
    <w:rsid w:val="001D41B5"/>
    <w:rsid w:val="001D6383"/>
    <w:rsid w:val="001E3206"/>
    <w:rsid w:val="001E44AE"/>
    <w:rsid w:val="001E4A67"/>
    <w:rsid w:val="001E4C1B"/>
    <w:rsid w:val="001E5138"/>
    <w:rsid w:val="001E7407"/>
    <w:rsid w:val="001F39FF"/>
    <w:rsid w:val="001F7F1C"/>
    <w:rsid w:val="00204997"/>
    <w:rsid w:val="00207D6C"/>
    <w:rsid w:val="00212214"/>
    <w:rsid w:val="002137F2"/>
    <w:rsid w:val="0021399F"/>
    <w:rsid w:val="00216817"/>
    <w:rsid w:val="002218B7"/>
    <w:rsid w:val="00224257"/>
    <w:rsid w:val="00227506"/>
    <w:rsid w:val="00227C87"/>
    <w:rsid w:val="00231158"/>
    <w:rsid w:val="00231E94"/>
    <w:rsid w:val="00233598"/>
    <w:rsid w:val="00236C1A"/>
    <w:rsid w:val="00237167"/>
    <w:rsid w:val="00237752"/>
    <w:rsid w:val="002414D4"/>
    <w:rsid w:val="002421FE"/>
    <w:rsid w:val="00242A43"/>
    <w:rsid w:val="00242C54"/>
    <w:rsid w:val="002503CB"/>
    <w:rsid w:val="00251672"/>
    <w:rsid w:val="00252ACA"/>
    <w:rsid w:val="00256BC6"/>
    <w:rsid w:val="00257959"/>
    <w:rsid w:val="002622D4"/>
    <w:rsid w:val="0026330E"/>
    <w:rsid w:val="00263855"/>
    <w:rsid w:val="00265EF4"/>
    <w:rsid w:val="00267A73"/>
    <w:rsid w:val="0027224E"/>
    <w:rsid w:val="00272EF0"/>
    <w:rsid w:val="0027343E"/>
    <w:rsid w:val="0027533F"/>
    <w:rsid w:val="00275F27"/>
    <w:rsid w:val="00276DC9"/>
    <w:rsid w:val="00280D33"/>
    <w:rsid w:val="00284F6F"/>
    <w:rsid w:val="00286EA6"/>
    <w:rsid w:val="00293F0B"/>
    <w:rsid w:val="0029428C"/>
    <w:rsid w:val="002A094C"/>
    <w:rsid w:val="002A407A"/>
    <w:rsid w:val="002A4448"/>
    <w:rsid w:val="002B063A"/>
    <w:rsid w:val="002B1E5E"/>
    <w:rsid w:val="002B5484"/>
    <w:rsid w:val="002B5B58"/>
    <w:rsid w:val="002B78DE"/>
    <w:rsid w:val="002C1317"/>
    <w:rsid w:val="002C56AC"/>
    <w:rsid w:val="002C6190"/>
    <w:rsid w:val="002C6393"/>
    <w:rsid w:val="002D0AA4"/>
    <w:rsid w:val="002D2088"/>
    <w:rsid w:val="002D3BA6"/>
    <w:rsid w:val="002D458D"/>
    <w:rsid w:val="002D47E4"/>
    <w:rsid w:val="002D5FB5"/>
    <w:rsid w:val="002E1CA6"/>
    <w:rsid w:val="002E70B3"/>
    <w:rsid w:val="002E729B"/>
    <w:rsid w:val="002E75B1"/>
    <w:rsid w:val="002E7FFA"/>
    <w:rsid w:val="002F0740"/>
    <w:rsid w:val="002F2879"/>
    <w:rsid w:val="002F541F"/>
    <w:rsid w:val="002F5782"/>
    <w:rsid w:val="002F773A"/>
    <w:rsid w:val="002F77B5"/>
    <w:rsid w:val="002F7DD1"/>
    <w:rsid w:val="003021BA"/>
    <w:rsid w:val="003043D7"/>
    <w:rsid w:val="00305CBA"/>
    <w:rsid w:val="00306DA0"/>
    <w:rsid w:val="00307D12"/>
    <w:rsid w:val="003114EC"/>
    <w:rsid w:val="00312717"/>
    <w:rsid w:val="00312F64"/>
    <w:rsid w:val="00315722"/>
    <w:rsid w:val="0032042E"/>
    <w:rsid w:val="003206CC"/>
    <w:rsid w:val="00320975"/>
    <w:rsid w:val="0032237F"/>
    <w:rsid w:val="003249FB"/>
    <w:rsid w:val="00325118"/>
    <w:rsid w:val="00325934"/>
    <w:rsid w:val="003328C5"/>
    <w:rsid w:val="0034252B"/>
    <w:rsid w:val="00342956"/>
    <w:rsid w:val="00344DA7"/>
    <w:rsid w:val="003464FA"/>
    <w:rsid w:val="003478A2"/>
    <w:rsid w:val="00347E1F"/>
    <w:rsid w:val="00353C99"/>
    <w:rsid w:val="00353C9D"/>
    <w:rsid w:val="0035576C"/>
    <w:rsid w:val="00355FD5"/>
    <w:rsid w:val="00361106"/>
    <w:rsid w:val="00362176"/>
    <w:rsid w:val="00362BD0"/>
    <w:rsid w:val="00363179"/>
    <w:rsid w:val="0036663A"/>
    <w:rsid w:val="00366B0C"/>
    <w:rsid w:val="003719EB"/>
    <w:rsid w:val="00373BDB"/>
    <w:rsid w:val="003745B0"/>
    <w:rsid w:val="00380548"/>
    <w:rsid w:val="003812F7"/>
    <w:rsid w:val="003814A0"/>
    <w:rsid w:val="003815A8"/>
    <w:rsid w:val="00382604"/>
    <w:rsid w:val="00382A65"/>
    <w:rsid w:val="00383714"/>
    <w:rsid w:val="003915DF"/>
    <w:rsid w:val="0039223D"/>
    <w:rsid w:val="00392BB1"/>
    <w:rsid w:val="0039300B"/>
    <w:rsid w:val="00397A63"/>
    <w:rsid w:val="003A0926"/>
    <w:rsid w:val="003A0A40"/>
    <w:rsid w:val="003A195E"/>
    <w:rsid w:val="003A284F"/>
    <w:rsid w:val="003A2F47"/>
    <w:rsid w:val="003A2F8A"/>
    <w:rsid w:val="003A35C0"/>
    <w:rsid w:val="003A38D5"/>
    <w:rsid w:val="003A6BFA"/>
    <w:rsid w:val="003A7C19"/>
    <w:rsid w:val="003A7DC1"/>
    <w:rsid w:val="003B631C"/>
    <w:rsid w:val="003C1B94"/>
    <w:rsid w:val="003C1CC5"/>
    <w:rsid w:val="003C3E4D"/>
    <w:rsid w:val="003C4AA4"/>
    <w:rsid w:val="003C5036"/>
    <w:rsid w:val="003C5CB4"/>
    <w:rsid w:val="003C6279"/>
    <w:rsid w:val="003D0801"/>
    <w:rsid w:val="003D1F9B"/>
    <w:rsid w:val="003D28A3"/>
    <w:rsid w:val="003D44B9"/>
    <w:rsid w:val="003E238C"/>
    <w:rsid w:val="003E48EA"/>
    <w:rsid w:val="003E6132"/>
    <w:rsid w:val="003F0D1D"/>
    <w:rsid w:val="003F1ECC"/>
    <w:rsid w:val="003F327A"/>
    <w:rsid w:val="004009D6"/>
    <w:rsid w:val="00401C0B"/>
    <w:rsid w:val="0040256D"/>
    <w:rsid w:val="004043D2"/>
    <w:rsid w:val="00404D10"/>
    <w:rsid w:val="00410A8B"/>
    <w:rsid w:val="0041106A"/>
    <w:rsid w:val="00412937"/>
    <w:rsid w:val="00414765"/>
    <w:rsid w:val="00416E8D"/>
    <w:rsid w:val="00417314"/>
    <w:rsid w:val="00421EFE"/>
    <w:rsid w:val="004234D9"/>
    <w:rsid w:val="00425684"/>
    <w:rsid w:val="00433FD2"/>
    <w:rsid w:val="00435FAF"/>
    <w:rsid w:val="004379D1"/>
    <w:rsid w:val="004379E0"/>
    <w:rsid w:val="00445155"/>
    <w:rsid w:val="00447066"/>
    <w:rsid w:val="00447118"/>
    <w:rsid w:val="0044743B"/>
    <w:rsid w:val="00452351"/>
    <w:rsid w:val="00454A2E"/>
    <w:rsid w:val="00456D17"/>
    <w:rsid w:val="00457E25"/>
    <w:rsid w:val="00457E33"/>
    <w:rsid w:val="0046071F"/>
    <w:rsid w:val="00461B32"/>
    <w:rsid w:val="004621EF"/>
    <w:rsid w:val="00463C22"/>
    <w:rsid w:val="004645E6"/>
    <w:rsid w:val="00466940"/>
    <w:rsid w:val="00471DCA"/>
    <w:rsid w:val="00472760"/>
    <w:rsid w:val="00473C46"/>
    <w:rsid w:val="004743CF"/>
    <w:rsid w:val="00476353"/>
    <w:rsid w:val="004820A9"/>
    <w:rsid w:val="00486019"/>
    <w:rsid w:val="00486AFA"/>
    <w:rsid w:val="00486F15"/>
    <w:rsid w:val="00490966"/>
    <w:rsid w:val="00490D16"/>
    <w:rsid w:val="004945F6"/>
    <w:rsid w:val="00495878"/>
    <w:rsid w:val="004A16C3"/>
    <w:rsid w:val="004A1718"/>
    <w:rsid w:val="004A1AA2"/>
    <w:rsid w:val="004A2443"/>
    <w:rsid w:val="004A35B2"/>
    <w:rsid w:val="004A404A"/>
    <w:rsid w:val="004A450B"/>
    <w:rsid w:val="004A48CC"/>
    <w:rsid w:val="004A7648"/>
    <w:rsid w:val="004A77D0"/>
    <w:rsid w:val="004B151A"/>
    <w:rsid w:val="004B268D"/>
    <w:rsid w:val="004C5C9E"/>
    <w:rsid w:val="004C5D07"/>
    <w:rsid w:val="004D26E0"/>
    <w:rsid w:val="004E087F"/>
    <w:rsid w:val="004E1DA2"/>
    <w:rsid w:val="004E2B1F"/>
    <w:rsid w:val="004E4D92"/>
    <w:rsid w:val="004F16E5"/>
    <w:rsid w:val="004F2178"/>
    <w:rsid w:val="004F4932"/>
    <w:rsid w:val="004F5A48"/>
    <w:rsid w:val="00500113"/>
    <w:rsid w:val="005005E4"/>
    <w:rsid w:val="00501F7B"/>
    <w:rsid w:val="00503254"/>
    <w:rsid w:val="005059C5"/>
    <w:rsid w:val="00513AF5"/>
    <w:rsid w:val="00513D3A"/>
    <w:rsid w:val="00515064"/>
    <w:rsid w:val="00517D77"/>
    <w:rsid w:val="0052170B"/>
    <w:rsid w:val="00524A4A"/>
    <w:rsid w:val="0052507B"/>
    <w:rsid w:val="00531A39"/>
    <w:rsid w:val="00534F8A"/>
    <w:rsid w:val="00536E35"/>
    <w:rsid w:val="005410BE"/>
    <w:rsid w:val="0054232F"/>
    <w:rsid w:val="00547F0C"/>
    <w:rsid w:val="00550428"/>
    <w:rsid w:val="0055135D"/>
    <w:rsid w:val="00554EC4"/>
    <w:rsid w:val="00555222"/>
    <w:rsid w:val="00555D09"/>
    <w:rsid w:val="00556411"/>
    <w:rsid w:val="0055666E"/>
    <w:rsid w:val="00556942"/>
    <w:rsid w:val="00557009"/>
    <w:rsid w:val="0056201C"/>
    <w:rsid w:val="0056308B"/>
    <w:rsid w:val="00564589"/>
    <w:rsid w:val="00565799"/>
    <w:rsid w:val="00565BAC"/>
    <w:rsid w:val="005671AC"/>
    <w:rsid w:val="00567A8D"/>
    <w:rsid w:val="005703F1"/>
    <w:rsid w:val="00572FAD"/>
    <w:rsid w:val="00573953"/>
    <w:rsid w:val="00577C0B"/>
    <w:rsid w:val="005813AD"/>
    <w:rsid w:val="00581A18"/>
    <w:rsid w:val="00585FD4"/>
    <w:rsid w:val="005860B9"/>
    <w:rsid w:val="00587269"/>
    <w:rsid w:val="005879CD"/>
    <w:rsid w:val="00590546"/>
    <w:rsid w:val="005908AE"/>
    <w:rsid w:val="00592F88"/>
    <w:rsid w:val="005955CD"/>
    <w:rsid w:val="005955DB"/>
    <w:rsid w:val="00595954"/>
    <w:rsid w:val="00597C12"/>
    <w:rsid w:val="005A2879"/>
    <w:rsid w:val="005A40D3"/>
    <w:rsid w:val="005A5603"/>
    <w:rsid w:val="005B3027"/>
    <w:rsid w:val="005B3702"/>
    <w:rsid w:val="005B4580"/>
    <w:rsid w:val="005B52DC"/>
    <w:rsid w:val="005B6CCF"/>
    <w:rsid w:val="005B7E3E"/>
    <w:rsid w:val="005C163D"/>
    <w:rsid w:val="005C16AF"/>
    <w:rsid w:val="005C51EA"/>
    <w:rsid w:val="005C6337"/>
    <w:rsid w:val="005D3CEF"/>
    <w:rsid w:val="005D3E56"/>
    <w:rsid w:val="005D781A"/>
    <w:rsid w:val="005E2F93"/>
    <w:rsid w:val="005E7114"/>
    <w:rsid w:val="005F0873"/>
    <w:rsid w:val="005F4A23"/>
    <w:rsid w:val="005F59C7"/>
    <w:rsid w:val="005F6BF7"/>
    <w:rsid w:val="00602C0C"/>
    <w:rsid w:val="00603FB4"/>
    <w:rsid w:val="006041C2"/>
    <w:rsid w:val="006055B0"/>
    <w:rsid w:val="00606D45"/>
    <w:rsid w:val="00606E1C"/>
    <w:rsid w:val="0061093A"/>
    <w:rsid w:val="0061199E"/>
    <w:rsid w:val="0061425A"/>
    <w:rsid w:val="00617A26"/>
    <w:rsid w:val="00621327"/>
    <w:rsid w:val="00624D8E"/>
    <w:rsid w:val="00624E02"/>
    <w:rsid w:val="0062632E"/>
    <w:rsid w:val="006270D6"/>
    <w:rsid w:val="006331E1"/>
    <w:rsid w:val="006349DF"/>
    <w:rsid w:val="00635C0F"/>
    <w:rsid w:val="0063701A"/>
    <w:rsid w:val="00640E5B"/>
    <w:rsid w:val="0064732A"/>
    <w:rsid w:val="00653959"/>
    <w:rsid w:val="00655D22"/>
    <w:rsid w:val="006563E5"/>
    <w:rsid w:val="006568DC"/>
    <w:rsid w:val="0065773A"/>
    <w:rsid w:val="00661147"/>
    <w:rsid w:val="00663B69"/>
    <w:rsid w:val="0066404E"/>
    <w:rsid w:val="006647F4"/>
    <w:rsid w:val="006654FA"/>
    <w:rsid w:val="00667180"/>
    <w:rsid w:val="00667763"/>
    <w:rsid w:val="006728D3"/>
    <w:rsid w:val="00674849"/>
    <w:rsid w:val="00675538"/>
    <w:rsid w:val="00675B8C"/>
    <w:rsid w:val="006807C2"/>
    <w:rsid w:val="0068223C"/>
    <w:rsid w:val="0068354A"/>
    <w:rsid w:val="0068429C"/>
    <w:rsid w:val="00687D6C"/>
    <w:rsid w:val="00693272"/>
    <w:rsid w:val="006977A3"/>
    <w:rsid w:val="006A7BD5"/>
    <w:rsid w:val="006B0B0E"/>
    <w:rsid w:val="006B0D93"/>
    <w:rsid w:val="006B0EC4"/>
    <w:rsid w:val="006B13E0"/>
    <w:rsid w:val="006B50AC"/>
    <w:rsid w:val="006B54A1"/>
    <w:rsid w:val="006C03DD"/>
    <w:rsid w:val="006C23AA"/>
    <w:rsid w:val="006C2EFA"/>
    <w:rsid w:val="006C41C6"/>
    <w:rsid w:val="006C56A9"/>
    <w:rsid w:val="006C5D2E"/>
    <w:rsid w:val="006C7ACE"/>
    <w:rsid w:val="006D0B99"/>
    <w:rsid w:val="006D153A"/>
    <w:rsid w:val="006D608E"/>
    <w:rsid w:val="006D7763"/>
    <w:rsid w:val="006E30C9"/>
    <w:rsid w:val="006F0C1E"/>
    <w:rsid w:val="006F1B88"/>
    <w:rsid w:val="006F4BF8"/>
    <w:rsid w:val="006F4E3E"/>
    <w:rsid w:val="00700DE5"/>
    <w:rsid w:val="0070109B"/>
    <w:rsid w:val="00702E05"/>
    <w:rsid w:val="0070599B"/>
    <w:rsid w:val="00707869"/>
    <w:rsid w:val="00707BBD"/>
    <w:rsid w:val="00713675"/>
    <w:rsid w:val="00714AC3"/>
    <w:rsid w:val="00714C04"/>
    <w:rsid w:val="00714EF8"/>
    <w:rsid w:val="00716CE3"/>
    <w:rsid w:val="00717BF9"/>
    <w:rsid w:val="00720A7D"/>
    <w:rsid w:val="00720CBE"/>
    <w:rsid w:val="00724032"/>
    <w:rsid w:val="00724B5F"/>
    <w:rsid w:val="00724D29"/>
    <w:rsid w:val="00725629"/>
    <w:rsid w:val="00726918"/>
    <w:rsid w:val="00733721"/>
    <w:rsid w:val="00735A6F"/>
    <w:rsid w:val="007366FB"/>
    <w:rsid w:val="0073739A"/>
    <w:rsid w:val="00740775"/>
    <w:rsid w:val="007426B2"/>
    <w:rsid w:val="007429CD"/>
    <w:rsid w:val="0074314D"/>
    <w:rsid w:val="0074605D"/>
    <w:rsid w:val="007465F6"/>
    <w:rsid w:val="00747B27"/>
    <w:rsid w:val="00747D62"/>
    <w:rsid w:val="00751617"/>
    <w:rsid w:val="00754DD5"/>
    <w:rsid w:val="007611B5"/>
    <w:rsid w:val="00761218"/>
    <w:rsid w:val="007669AB"/>
    <w:rsid w:val="00767B65"/>
    <w:rsid w:val="0077129A"/>
    <w:rsid w:val="00771D04"/>
    <w:rsid w:val="00772CC1"/>
    <w:rsid w:val="00772FB1"/>
    <w:rsid w:val="007734E8"/>
    <w:rsid w:val="00775005"/>
    <w:rsid w:val="007821FA"/>
    <w:rsid w:val="00782AFB"/>
    <w:rsid w:val="00786B95"/>
    <w:rsid w:val="00790D29"/>
    <w:rsid w:val="00790F84"/>
    <w:rsid w:val="0079302D"/>
    <w:rsid w:val="00794056"/>
    <w:rsid w:val="00797927"/>
    <w:rsid w:val="007B00A3"/>
    <w:rsid w:val="007B2B9E"/>
    <w:rsid w:val="007B7318"/>
    <w:rsid w:val="007C08D7"/>
    <w:rsid w:val="007C0E2D"/>
    <w:rsid w:val="007C1285"/>
    <w:rsid w:val="007C3B1F"/>
    <w:rsid w:val="007C60E5"/>
    <w:rsid w:val="007C7030"/>
    <w:rsid w:val="007C7157"/>
    <w:rsid w:val="007C78C0"/>
    <w:rsid w:val="007D0151"/>
    <w:rsid w:val="007D0CC2"/>
    <w:rsid w:val="007D5483"/>
    <w:rsid w:val="007D71C9"/>
    <w:rsid w:val="007D7489"/>
    <w:rsid w:val="007E287A"/>
    <w:rsid w:val="007E3BAD"/>
    <w:rsid w:val="007E4271"/>
    <w:rsid w:val="007E631F"/>
    <w:rsid w:val="007E77DA"/>
    <w:rsid w:val="007F24C1"/>
    <w:rsid w:val="007F3A73"/>
    <w:rsid w:val="007F4C9B"/>
    <w:rsid w:val="007F4CD7"/>
    <w:rsid w:val="007F6EF0"/>
    <w:rsid w:val="0080449E"/>
    <w:rsid w:val="00805E0D"/>
    <w:rsid w:val="00805E8C"/>
    <w:rsid w:val="00806C86"/>
    <w:rsid w:val="00810943"/>
    <w:rsid w:val="00815DE5"/>
    <w:rsid w:val="008262E8"/>
    <w:rsid w:val="00827F19"/>
    <w:rsid w:val="008319B9"/>
    <w:rsid w:val="00831B85"/>
    <w:rsid w:val="00832D29"/>
    <w:rsid w:val="00833216"/>
    <w:rsid w:val="0083420C"/>
    <w:rsid w:val="00834641"/>
    <w:rsid w:val="00840869"/>
    <w:rsid w:val="008414DC"/>
    <w:rsid w:val="008450D8"/>
    <w:rsid w:val="00845DFE"/>
    <w:rsid w:val="00850529"/>
    <w:rsid w:val="00851F3E"/>
    <w:rsid w:val="00852BC4"/>
    <w:rsid w:val="00856DDF"/>
    <w:rsid w:val="00857A59"/>
    <w:rsid w:val="00857AB5"/>
    <w:rsid w:val="00860C8A"/>
    <w:rsid w:val="0086212A"/>
    <w:rsid w:val="00864728"/>
    <w:rsid w:val="00865606"/>
    <w:rsid w:val="00865646"/>
    <w:rsid w:val="00866640"/>
    <w:rsid w:val="00866F5F"/>
    <w:rsid w:val="008672F2"/>
    <w:rsid w:val="00867772"/>
    <w:rsid w:val="008709D7"/>
    <w:rsid w:val="008769F5"/>
    <w:rsid w:val="0088116C"/>
    <w:rsid w:val="008818AA"/>
    <w:rsid w:val="00882B11"/>
    <w:rsid w:val="00885223"/>
    <w:rsid w:val="00894900"/>
    <w:rsid w:val="008955CB"/>
    <w:rsid w:val="00896622"/>
    <w:rsid w:val="008A24B7"/>
    <w:rsid w:val="008A7C07"/>
    <w:rsid w:val="008B05C2"/>
    <w:rsid w:val="008B1577"/>
    <w:rsid w:val="008B1A23"/>
    <w:rsid w:val="008B5FC2"/>
    <w:rsid w:val="008B7E12"/>
    <w:rsid w:val="008C39F5"/>
    <w:rsid w:val="008C3D28"/>
    <w:rsid w:val="008C3FCA"/>
    <w:rsid w:val="008C5E9E"/>
    <w:rsid w:val="008D0DB2"/>
    <w:rsid w:val="008D36D6"/>
    <w:rsid w:val="008D377A"/>
    <w:rsid w:val="008E6471"/>
    <w:rsid w:val="008F037B"/>
    <w:rsid w:val="008F597C"/>
    <w:rsid w:val="008F5E9F"/>
    <w:rsid w:val="008F7327"/>
    <w:rsid w:val="00903167"/>
    <w:rsid w:val="0090436B"/>
    <w:rsid w:val="0090449D"/>
    <w:rsid w:val="00905A55"/>
    <w:rsid w:val="009071E8"/>
    <w:rsid w:val="00907CB6"/>
    <w:rsid w:val="00912160"/>
    <w:rsid w:val="00914699"/>
    <w:rsid w:val="009168C3"/>
    <w:rsid w:val="0092230F"/>
    <w:rsid w:val="0092331B"/>
    <w:rsid w:val="00924369"/>
    <w:rsid w:val="00924F3C"/>
    <w:rsid w:val="009251BF"/>
    <w:rsid w:val="009254E9"/>
    <w:rsid w:val="0092580E"/>
    <w:rsid w:val="009258C6"/>
    <w:rsid w:val="00926351"/>
    <w:rsid w:val="009310E3"/>
    <w:rsid w:val="009315B9"/>
    <w:rsid w:val="00933E2B"/>
    <w:rsid w:val="00936C8D"/>
    <w:rsid w:val="009375BA"/>
    <w:rsid w:val="00942979"/>
    <w:rsid w:val="00943ED8"/>
    <w:rsid w:val="00944527"/>
    <w:rsid w:val="00950C54"/>
    <w:rsid w:val="00952C2A"/>
    <w:rsid w:val="00957970"/>
    <w:rsid w:val="00957D92"/>
    <w:rsid w:val="00963287"/>
    <w:rsid w:val="00963991"/>
    <w:rsid w:val="00964BF6"/>
    <w:rsid w:val="00966140"/>
    <w:rsid w:val="0096758F"/>
    <w:rsid w:val="00970DCF"/>
    <w:rsid w:val="00971CBF"/>
    <w:rsid w:val="00974043"/>
    <w:rsid w:val="00975013"/>
    <w:rsid w:val="0097560B"/>
    <w:rsid w:val="009768EB"/>
    <w:rsid w:val="00980AA0"/>
    <w:rsid w:val="009834C6"/>
    <w:rsid w:val="00987A1B"/>
    <w:rsid w:val="00994AFA"/>
    <w:rsid w:val="009A3BF3"/>
    <w:rsid w:val="009A5858"/>
    <w:rsid w:val="009A5B79"/>
    <w:rsid w:val="009A65F2"/>
    <w:rsid w:val="009B0C9D"/>
    <w:rsid w:val="009B199F"/>
    <w:rsid w:val="009B30AB"/>
    <w:rsid w:val="009C18BC"/>
    <w:rsid w:val="009C3B49"/>
    <w:rsid w:val="009D027E"/>
    <w:rsid w:val="009D16B2"/>
    <w:rsid w:val="009D16EB"/>
    <w:rsid w:val="009D4200"/>
    <w:rsid w:val="009D67C5"/>
    <w:rsid w:val="009E48A7"/>
    <w:rsid w:val="009F35BB"/>
    <w:rsid w:val="009F452B"/>
    <w:rsid w:val="009F6589"/>
    <w:rsid w:val="00A0267C"/>
    <w:rsid w:val="00A04812"/>
    <w:rsid w:val="00A05102"/>
    <w:rsid w:val="00A07AFB"/>
    <w:rsid w:val="00A10ED0"/>
    <w:rsid w:val="00A11232"/>
    <w:rsid w:val="00A17A14"/>
    <w:rsid w:val="00A2201B"/>
    <w:rsid w:val="00A228C2"/>
    <w:rsid w:val="00A23417"/>
    <w:rsid w:val="00A2410E"/>
    <w:rsid w:val="00A2661F"/>
    <w:rsid w:val="00A30A8A"/>
    <w:rsid w:val="00A35DD0"/>
    <w:rsid w:val="00A3629D"/>
    <w:rsid w:val="00A368FE"/>
    <w:rsid w:val="00A41FD2"/>
    <w:rsid w:val="00A42387"/>
    <w:rsid w:val="00A43634"/>
    <w:rsid w:val="00A43D6B"/>
    <w:rsid w:val="00A47233"/>
    <w:rsid w:val="00A478EC"/>
    <w:rsid w:val="00A50224"/>
    <w:rsid w:val="00A52FF8"/>
    <w:rsid w:val="00A530BA"/>
    <w:rsid w:val="00A54885"/>
    <w:rsid w:val="00A57C11"/>
    <w:rsid w:val="00A57F40"/>
    <w:rsid w:val="00A6049E"/>
    <w:rsid w:val="00A63A3C"/>
    <w:rsid w:val="00A71A23"/>
    <w:rsid w:val="00A72C1D"/>
    <w:rsid w:val="00A72ED1"/>
    <w:rsid w:val="00A745B5"/>
    <w:rsid w:val="00A747D4"/>
    <w:rsid w:val="00A74AC4"/>
    <w:rsid w:val="00A76576"/>
    <w:rsid w:val="00A802BC"/>
    <w:rsid w:val="00A82212"/>
    <w:rsid w:val="00A83951"/>
    <w:rsid w:val="00A84C31"/>
    <w:rsid w:val="00A861CC"/>
    <w:rsid w:val="00A862B9"/>
    <w:rsid w:val="00A869E3"/>
    <w:rsid w:val="00A92B46"/>
    <w:rsid w:val="00A945A9"/>
    <w:rsid w:val="00A96163"/>
    <w:rsid w:val="00A97092"/>
    <w:rsid w:val="00AA0E80"/>
    <w:rsid w:val="00AA1748"/>
    <w:rsid w:val="00AA1AC1"/>
    <w:rsid w:val="00AA2D2D"/>
    <w:rsid w:val="00AA3A65"/>
    <w:rsid w:val="00AA6103"/>
    <w:rsid w:val="00AB132A"/>
    <w:rsid w:val="00AB20D9"/>
    <w:rsid w:val="00AC014D"/>
    <w:rsid w:val="00AC2958"/>
    <w:rsid w:val="00AC3C45"/>
    <w:rsid w:val="00AC454A"/>
    <w:rsid w:val="00AC4BEF"/>
    <w:rsid w:val="00AC5345"/>
    <w:rsid w:val="00AC7F6B"/>
    <w:rsid w:val="00AD2DA0"/>
    <w:rsid w:val="00AD4375"/>
    <w:rsid w:val="00AD53F3"/>
    <w:rsid w:val="00AD5485"/>
    <w:rsid w:val="00AD602E"/>
    <w:rsid w:val="00AD65F3"/>
    <w:rsid w:val="00AE0EEB"/>
    <w:rsid w:val="00AE104E"/>
    <w:rsid w:val="00AE1712"/>
    <w:rsid w:val="00AE2EE7"/>
    <w:rsid w:val="00AE7080"/>
    <w:rsid w:val="00AE7B56"/>
    <w:rsid w:val="00AF161F"/>
    <w:rsid w:val="00B007D2"/>
    <w:rsid w:val="00B01605"/>
    <w:rsid w:val="00B041D6"/>
    <w:rsid w:val="00B043D9"/>
    <w:rsid w:val="00B10002"/>
    <w:rsid w:val="00B17A9D"/>
    <w:rsid w:val="00B22913"/>
    <w:rsid w:val="00B30B32"/>
    <w:rsid w:val="00B3214C"/>
    <w:rsid w:val="00B33C66"/>
    <w:rsid w:val="00B343B0"/>
    <w:rsid w:val="00B35442"/>
    <w:rsid w:val="00B36167"/>
    <w:rsid w:val="00B376D1"/>
    <w:rsid w:val="00B37EEC"/>
    <w:rsid w:val="00B42165"/>
    <w:rsid w:val="00B454EF"/>
    <w:rsid w:val="00B45B54"/>
    <w:rsid w:val="00B46DC3"/>
    <w:rsid w:val="00B505C4"/>
    <w:rsid w:val="00B539BB"/>
    <w:rsid w:val="00B577FD"/>
    <w:rsid w:val="00B621CD"/>
    <w:rsid w:val="00B63B84"/>
    <w:rsid w:val="00B67DEE"/>
    <w:rsid w:val="00B70A6F"/>
    <w:rsid w:val="00B73481"/>
    <w:rsid w:val="00B735FC"/>
    <w:rsid w:val="00B771DA"/>
    <w:rsid w:val="00B83BA6"/>
    <w:rsid w:val="00B83C9B"/>
    <w:rsid w:val="00B84848"/>
    <w:rsid w:val="00B90978"/>
    <w:rsid w:val="00B90D6E"/>
    <w:rsid w:val="00B91980"/>
    <w:rsid w:val="00B919B0"/>
    <w:rsid w:val="00B91AD8"/>
    <w:rsid w:val="00B9576F"/>
    <w:rsid w:val="00B95BA6"/>
    <w:rsid w:val="00B96E19"/>
    <w:rsid w:val="00B97B20"/>
    <w:rsid w:val="00BA22FF"/>
    <w:rsid w:val="00BA58A5"/>
    <w:rsid w:val="00BA7321"/>
    <w:rsid w:val="00BB0E51"/>
    <w:rsid w:val="00BB4F8E"/>
    <w:rsid w:val="00BB7C93"/>
    <w:rsid w:val="00BC0C89"/>
    <w:rsid w:val="00BC1B3B"/>
    <w:rsid w:val="00BC512C"/>
    <w:rsid w:val="00BC7AB5"/>
    <w:rsid w:val="00BD0940"/>
    <w:rsid w:val="00BD10F5"/>
    <w:rsid w:val="00BD2587"/>
    <w:rsid w:val="00BD5E38"/>
    <w:rsid w:val="00BD6B4F"/>
    <w:rsid w:val="00BD7452"/>
    <w:rsid w:val="00BE0038"/>
    <w:rsid w:val="00BE2817"/>
    <w:rsid w:val="00BE38C9"/>
    <w:rsid w:val="00BE49CB"/>
    <w:rsid w:val="00BE55A3"/>
    <w:rsid w:val="00BE6262"/>
    <w:rsid w:val="00BE710E"/>
    <w:rsid w:val="00BF286A"/>
    <w:rsid w:val="00BF390A"/>
    <w:rsid w:val="00BF7C56"/>
    <w:rsid w:val="00C0216E"/>
    <w:rsid w:val="00C0345D"/>
    <w:rsid w:val="00C0570A"/>
    <w:rsid w:val="00C07958"/>
    <w:rsid w:val="00C103D5"/>
    <w:rsid w:val="00C10510"/>
    <w:rsid w:val="00C13320"/>
    <w:rsid w:val="00C15783"/>
    <w:rsid w:val="00C1601B"/>
    <w:rsid w:val="00C16271"/>
    <w:rsid w:val="00C16D23"/>
    <w:rsid w:val="00C2031C"/>
    <w:rsid w:val="00C204A1"/>
    <w:rsid w:val="00C23AE8"/>
    <w:rsid w:val="00C23C3F"/>
    <w:rsid w:val="00C241F5"/>
    <w:rsid w:val="00C251C7"/>
    <w:rsid w:val="00C252CD"/>
    <w:rsid w:val="00C256FF"/>
    <w:rsid w:val="00C271BD"/>
    <w:rsid w:val="00C27E36"/>
    <w:rsid w:val="00C33BA3"/>
    <w:rsid w:val="00C35C09"/>
    <w:rsid w:val="00C36E34"/>
    <w:rsid w:val="00C3707C"/>
    <w:rsid w:val="00C40A31"/>
    <w:rsid w:val="00C40C64"/>
    <w:rsid w:val="00C463EC"/>
    <w:rsid w:val="00C474CA"/>
    <w:rsid w:val="00C532D0"/>
    <w:rsid w:val="00C542CF"/>
    <w:rsid w:val="00C55AE3"/>
    <w:rsid w:val="00C55D9F"/>
    <w:rsid w:val="00C56E25"/>
    <w:rsid w:val="00C57E32"/>
    <w:rsid w:val="00C6011A"/>
    <w:rsid w:val="00C60154"/>
    <w:rsid w:val="00C613F6"/>
    <w:rsid w:val="00C6490A"/>
    <w:rsid w:val="00C66634"/>
    <w:rsid w:val="00C677F0"/>
    <w:rsid w:val="00C71DBD"/>
    <w:rsid w:val="00C75AA3"/>
    <w:rsid w:val="00C75AB2"/>
    <w:rsid w:val="00C75B13"/>
    <w:rsid w:val="00C77689"/>
    <w:rsid w:val="00C8025D"/>
    <w:rsid w:val="00C804A5"/>
    <w:rsid w:val="00C81584"/>
    <w:rsid w:val="00C8316C"/>
    <w:rsid w:val="00C84F67"/>
    <w:rsid w:val="00C877DA"/>
    <w:rsid w:val="00C9295C"/>
    <w:rsid w:val="00C92F29"/>
    <w:rsid w:val="00C93FAF"/>
    <w:rsid w:val="00C93FC6"/>
    <w:rsid w:val="00C95221"/>
    <w:rsid w:val="00CA24DC"/>
    <w:rsid w:val="00CA5C79"/>
    <w:rsid w:val="00CA6338"/>
    <w:rsid w:val="00CB015C"/>
    <w:rsid w:val="00CB0982"/>
    <w:rsid w:val="00CB2A18"/>
    <w:rsid w:val="00CB357C"/>
    <w:rsid w:val="00CB3BD2"/>
    <w:rsid w:val="00CC35FE"/>
    <w:rsid w:val="00CC456D"/>
    <w:rsid w:val="00CC5A6B"/>
    <w:rsid w:val="00CC5D89"/>
    <w:rsid w:val="00CD05CD"/>
    <w:rsid w:val="00CD1498"/>
    <w:rsid w:val="00CD3AF6"/>
    <w:rsid w:val="00CD572B"/>
    <w:rsid w:val="00CD57F1"/>
    <w:rsid w:val="00CD630D"/>
    <w:rsid w:val="00CD6CB6"/>
    <w:rsid w:val="00CE1C62"/>
    <w:rsid w:val="00CE35F7"/>
    <w:rsid w:val="00CE3A43"/>
    <w:rsid w:val="00CE4024"/>
    <w:rsid w:val="00CE4DD6"/>
    <w:rsid w:val="00CE5095"/>
    <w:rsid w:val="00CF0052"/>
    <w:rsid w:val="00CF1703"/>
    <w:rsid w:val="00CF4AE9"/>
    <w:rsid w:val="00D022B7"/>
    <w:rsid w:val="00D03B8B"/>
    <w:rsid w:val="00D04CE2"/>
    <w:rsid w:val="00D04DE4"/>
    <w:rsid w:val="00D071BC"/>
    <w:rsid w:val="00D07BE3"/>
    <w:rsid w:val="00D120D1"/>
    <w:rsid w:val="00D1213B"/>
    <w:rsid w:val="00D13B93"/>
    <w:rsid w:val="00D149F4"/>
    <w:rsid w:val="00D1533A"/>
    <w:rsid w:val="00D15A25"/>
    <w:rsid w:val="00D161CA"/>
    <w:rsid w:val="00D17808"/>
    <w:rsid w:val="00D21F8E"/>
    <w:rsid w:val="00D2285F"/>
    <w:rsid w:val="00D31F1E"/>
    <w:rsid w:val="00D34085"/>
    <w:rsid w:val="00D3727C"/>
    <w:rsid w:val="00D373E8"/>
    <w:rsid w:val="00D474D4"/>
    <w:rsid w:val="00D516A4"/>
    <w:rsid w:val="00D55E17"/>
    <w:rsid w:val="00D56DBE"/>
    <w:rsid w:val="00D57A12"/>
    <w:rsid w:val="00D62C28"/>
    <w:rsid w:val="00D6315A"/>
    <w:rsid w:val="00D6375E"/>
    <w:rsid w:val="00D644F3"/>
    <w:rsid w:val="00D67AB1"/>
    <w:rsid w:val="00D711FA"/>
    <w:rsid w:val="00D73D44"/>
    <w:rsid w:val="00D74E30"/>
    <w:rsid w:val="00D75217"/>
    <w:rsid w:val="00D75420"/>
    <w:rsid w:val="00D76DB5"/>
    <w:rsid w:val="00D81095"/>
    <w:rsid w:val="00D81986"/>
    <w:rsid w:val="00D8208E"/>
    <w:rsid w:val="00D82515"/>
    <w:rsid w:val="00D826CE"/>
    <w:rsid w:val="00D8546D"/>
    <w:rsid w:val="00D86725"/>
    <w:rsid w:val="00D8686F"/>
    <w:rsid w:val="00D86D07"/>
    <w:rsid w:val="00D87E4E"/>
    <w:rsid w:val="00D902A1"/>
    <w:rsid w:val="00D94EA7"/>
    <w:rsid w:val="00D95522"/>
    <w:rsid w:val="00D961D2"/>
    <w:rsid w:val="00DA09DF"/>
    <w:rsid w:val="00DA3EF3"/>
    <w:rsid w:val="00DA420D"/>
    <w:rsid w:val="00DA42EE"/>
    <w:rsid w:val="00DA52A7"/>
    <w:rsid w:val="00DA68E8"/>
    <w:rsid w:val="00DA7F6E"/>
    <w:rsid w:val="00DB0773"/>
    <w:rsid w:val="00DB2313"/>
    <w:rsid w:val="00DB2391"/>
    <w:rsid w:val="00DB264D"/>
    <w:rsid w:val="00DB3EE7"/>
    <w:rsid w:val="00DB7056"/>
    <w:rsid w:val="00DC1681"/>
    <w:rsid w:val="00DC2A1D"/>
    <w:rsid w:val="00DC2A48"/>
    <w:rsid w:val="00DC2B4E"/>
    <w:rsid w:val="00DC5477"/>
    <w:rsid w:val="00DC6EC2"/>
    <w:rsid w:val="00DD1EA7"/>
    <w:rsid w:val="00DD22C7"/>
    <w:rsid w:val="00DD2C3E"/>
    <w:rsid w:val="00DE4D15"/>
    <w:rsid w:val="00DE6BF1"/>
    <w:rsid w:val="00DE7D07"/>
    <w:rsid w:val="00DF4348"/>
    <w:rsid w:val="00DF48B4"/>
    <w:rsid w:val="00DF517D"/>
    <w:rsid w:val="00DF5F98"/>
    <w:rsid w:val="00DF6002"/>
    <w:rsid w:val="00DF6266"/>
    <w:rsid w:val="00E02D99"/>
    <w:rsid w:val="00E03564"/>
    <w:rsid w:val="00E07152"/>
    <w:rsid w:val="00E1129D"/>
    <w:rsid w:val="00E14ADA"/>
    <w:rsid w:val="00E159A7"/>
    <w:rsid w:val="00E168B5"/>
    <w:rsid w:val="00E17076"/>
    <w:rsid w:val="00E218D1"/>
    <w:rsid w:val="00E21A24"/>
    <w:rsid w:val="00E21C4D"/>
    <w:rsid w:val="00E21F63"/>
    <w:rsid w:val="00E221AE"/>
    <w:rsid w:val="00E23CC6"/>
    <w:rsid w:val="00E27C5B"/>
    <w:rsid w:val="00E321C5"/>
    <w:rsid w:val="00E331CD"/>
    <w:rsid w:val="00E3443C"/>
    <w:rsid w:val="00E40743"/>
    <w:rsid w:val="00E40DFE"/>
    <w:rsid w:val="00E43F03"/>
    <w:rsid w:val="00E50D91"/>
    <w:rsid w:val="00E51226"/>
    <w:rsid w:val="00E5136E"/>
    <w:rsid w:val="00E52D47"/>
    <w:rsid w:val="00E555FD"/>
    <w:rsid w:val="00E655F0"/>
    <w:rsid w:val="00E661BA"/>
    <w:rsid w:val="00E668E0"/>
    <w:rsid w:val="00E70779"/>
    <w:rsid w:val="00E70DD5"/>
    <w:rsid w:val="00E713B0"/>
    <w:rsid w:val="00E74406"/>
    <w:rsid w:val="00E74964"/>
    <w:rsid w:val="00E7547F"/>
    <w:rsid w:val="00E76B8D"/>
    <w:rsid w:val="00E80201"/>
    <w:rsid w:val="00E80FA0"/>
    <w:rsid w:val="00E82BAD"/>
    <w:rsid w:val="00E84B92"/>
    <w:rsid w:val="00E84BB0"/>
    <w:rsid w:val="00E85679"/>
    <w:rsid w:val="00E85BCA"/>
    <w:rsid w:val="00E93A06"/>
    <w:rsid w:val="00E96C35"/>
    <w:rsid w:val="00EA1332"/>
    <w:rsid w:val="00EA134B"/>
    <w:rsid w:val="00EA4803"/>
    <w:rsid w:val="00EA79FF"/>
    <w:rsid w:val="00EB1417"/>
    <w:rsid w:val="00EB1549"/>
    <w:rsid w:val="00EB3435"/>
    <w:rsid w:val="00EB6F5C"/>
    <w:rsid w:val="00EB7269"/>
    <w:rsid w:val="00EB7721"/>
    <w:rsid w:val="00EB7923"/>
    <w:rsid w:val="00EC4E16"/>
    <w:rsid w:val="00EC5E34"/>
    <w:rsid w:val="00ED176A"/>
    <w:rsid w:val="00ED201C"/>
    <w:rsid w:val="00ED3190"/>
    <w:rsid w:val="00ED39D3"/>
    <w:rsid w:val="00ED685F"/>
    <w:rsid w:val="00EE02E1"/>
    <w:rsid w:val="00EE0F6D"/>
    <w:rsid w:val="00EF2FC4"/>
    <w:rsid w:val="00EF7FC6"/>
    <w:rsid w:val="00F032EB"/>
    <w:rsid w:val="00F0359B"/>
    <w:rsid w:val="00F0518F"/>
    <w:rsid w:val="00F067AC"/>
    <w:rsid w:val="00F0798B"/>
    <w:rsid w:val="00F10CEF"/>
    <w:rsid w:val="00F12748"/>
    <w:rsid w:val="00F13017"/>
    <w:rsid w:val="00F144AA"/>
    <w:rsid w:val="00F15853"/>
    <w:rsid w:val="00F206CC"/>
    <w:rsid w:val="00F2219E"/>
    <w:rsid w:val="00F24529"/>
    <w:rsid w:val="00F25EA8"/>
    <w:rsid w:val="00F302D5"/>
    <w:rsid w:val="00F31630"/>
    <w:rsid w:val="00F31E1E"/>
    <w:rsid w:val="00F32570"/>
    <w:rsid w:val="00F328D8"/>
    <w:rsid w:val="00F32C66"/>
    <w:rsid w:val="00F33C1D"/>
    <w:rsid w:val="00F3403F"/>
    <w:rsid w:val="00F341FF"/>
    <w:rsid w:val="00F34660"/>
    <w:rsid w:val="00F3500A"/>
    <w:rsid w:val="00F362C5"/>
    <w:rsid w:val="00F37E8A"/>
    <w:rsid w:val="00F4011D"/>
    <w:rsid w:val="00F428F5"/>
    <w:rsid w:val="00F42C64"/>
    <w:rsid w:val="00F507C1"/>
    <w:rsid w:val="00F50B6A"/>
    <w:rsid w:val="00F51A41"/>
    <w:rsid w:val="00F57F83"/>
    <w:rsid w:val="00F62AE5"/>
    <w:rsid w:val="00F63FA7"/>
    <w:rsid w:val="00F65A2D"/>
    <w:rsid w:val="00F66A1D"/>
    <w:rsid w:val="00F732BD"/>
    <w:rsid w:val="00F73B61"/>
    <w:rsid w:val="00F740A3"/>
    <w:rsid w:val="00F75D4C"/>
    <w:rsid w:val="00F76B8C"/>
    <w:rsid w:val="00F7754A"/>
    <w:rsid w:val="00F77DF9"/>
    <w:rsid w:val="00F866BC"/>
    <w:rsid w:val="00F904E5"/>
    <w:rsid w:val="00F917EF"/>
    <w:rsid w:val="00F9744F"/>
    <w:rsid w:val="00F978D6"/>
    <w:rsid w:val="00F97FA0"/>
    <w:rsid w:val="00FA016C"/>
    <w:rsid w:val="00FA0A4D"/>
    <w:rsid w:val="00FA1720"/>
    <w:rsid w:val="00FA259E"/>
    <w:rsid w:val="00FA6D08"/>
    <w:rsid w:val="00FB2D14"/>
    <w:rsid w:val="00FB739D"/>
    <w:rsid w:val="00FC0C8F"/>
    <w:rsid w:val="00FC2F7F"/>
    <w:rsid w:val="00FC61F3"/>
    <w:rsid w:val="00FC62D0"/>
    <w:rsid w:val="00FC6996"/>
    <w:rsid w:val="00FD3F9A"/>
    <w:rsid w:val="00FE1D41"/>
    <w:rsid w:val="00FE3C2F"/>
    <w:rsid w:val="00FE42BB"/>
    <w:rsid w:val="00FE6565"/>
    <w:rsid w:val="00FE6A6E"/>
    <w:rsid w:val="00FF167F"/>
    <w:rsid w:val="00FF477F"/>
    <w:rsid w:val="00FF6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56E899"/>
  <w15:docId w15:val="{B1A6E485-4AFB-49A3-9919-DB90B4C4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F6002"/>
    <w:rPr>
      <w:rFonts w:ascii="F015TEE" w:hAnsi="F015TEE"/>
      <w:lang w:val="cs-CZ" w:eastAsia="cs-CZ"/>
    </w:rPr>
  </w:style>
  <w:style w:type="paragraph" w:styleId="Nadpis1">
    <w:name w:val="heading 1"/>
    <w:basedOn w:val="Normln"/>
    <w:next w:val="Normln"/>
    <w:link w:val="Nadpis1Char"/>
    <w:qFormat/>
    <w:pPr>
      <w:keepNext/>
      <w:spacing w:before="240" w:after="60"/>
      <w:jc w:val="center"/>
      <w:outlineLvl w:val="0"/>
    </w:pPr>
    <w:rPr>
      <w:rFonts w:ascii="Times New Roman" w:hAnsi="Times New Roman"/>
      <w:b/>
      <w:kern w:val="28"/>
      <w:sz w:val="28"/>
      <w:lang w:val="en-US"/>
    </w:rPr>
  </w:style>
  <w:style w:type="paragraph" w:styleId="Nadpis2">
    <w:name w:val="heading 2"/>
    <w:basedOn w:val="Normln"/>
    <w:next w:val="Normln"/>
    <w:qFormat/>
    <w:pPr>
      <w:keepNext/>
      <w:ind w:left="426" w:hanging="567"/>
      <w:jc w:val="both"/>
      <w:outlineLvl w:val="1"/>
    </w:pPr>
    <w:rPr>
      <w:b/>
      <w:vanish/>
      <w:color w:val="0000FF"/>
    </w:rPr>
  </w:style>
  <w:style w:type="paragraph" w:styleId="Nadpis3">
    <w:name w:val="heading 3"/>
    <w:basedOn w:val="Normln"/>
    <w:next w:val="Normln"/>
    <w:link w:val="Nadpis3Char"/>
    <w:qFormat/>
    <w:pPr>
      <w:keepNext/>
      <w:ind w:left="567" w:hanging="567"/>
      <w:outlineLvl w:val="2"/>
    </w:pPr>
    <w:rPr>
      <w:b/>
      <w:i/>
      <w:color w:val="FF0000"/>
    </w:rPr>
  </w:style>
  <w:style w:type="paragraph" w:styleId="Nadpis4">
    <w:name w:val="heading 4"/>
    <w:basedOn w:val="Normln"/>
    <w:next w:val="Normln"/>
    <w:link w:val="Nadpis4Char"/>
    <w:qFormat/>
    <w:pPr>
      <w:keepNext/>
      <w:ind w:left="426" w:hanging="426"/>
      <w:jc w:val="both"/>
      <w:outlineLvl w:val="3"/>
    </w:pPr>
    <w:rPr>
      <w:rFonts w:ascii="F015TEELig" w:hAnsi="F015TEELig"/>
      <w:b/>
      <w:i/>
      <w:color w:val="FF0000"/>
    </w:rPr>
  </w:style>
  <w:style w:type="paragraph" w:styleId="Nadpis5">
    <w:name w:val="heading 5"/>
    <w:basedOn w:val="Normln"/>
    <w:next w:val="Normln"/>
    <w:qFormat/>
    <w:pPr>
      <w:keepNext/>
      <w:ind w:left="426" w:hanging="426"/>
      <w:jc w:val="both"/>
      <w:outlineLvl w:val="4"/>
    </w:pPr>
    <w:rPr>
      <w:b/>
      <w:smallCaps/>
      <w:vanish/>
      <w:color w:val="FF0000"/>
      <w:lang w:val="en-US"/>
    </w:rPr>
  </w:style>
  <w:style w:type="paragraph" w:styleId="Nadpis6">
    <w:name w:val="heading 6"/>
    <w:basedOn w:val="Normln"/>
    <w:next w:val="Normln"/>
    <w:qFormat/>
    <w:pPr>
      <w:keepNext/>
      <w:jc w:val="both"/>
      <w:outlineLvl w:val="5"/>
    </w:pPr>
    <w:rPr>
      <w:b/>
      <w:i/>
      <w:color w:val="FF0000"/>
      <w:sz w:val="24"/>
    </w:rPr>
  </w:style>
  <w:style w:type="paragraph" w:styleId="Nadpis7">
    <w:name w:val="heading 7"/>
    <w:basedOn w:val="Normln"/>
    <w:next w:val="Normln"/>
    <w:qFormat/>
    <w:pPr>
      <w:keepNext/>
      <w:ind w:left="426" w:hanging="426"/>
      <w:jc w:val="both"/>
      <w:outlineLvl w:val="6"/>
    </w:pPr>
    <w:rPr>
      <w:b/>
      <w:color w:val="FF0000"/>
    </w:rPr>
  </w:style>
  <w:style w:type="paragraph" w:styleId="Nadpis8">
    <w:name w:val="heading 8"/>
    <w:basedOn w:val="Normln"/>
    <w:next w:val="Normln"/>
    <w:qFormat/>
    <w:pPr>
      <w:keepNext/>
      <w:ind w:left="567" w:hanging="567"/>
      <w:outlineLvl w:val="7"/>
    </w:pPr>
    <w:rPr>
      <w:b/>
      <w:color w:val="0000FF"/>
      <w:lang w:val="en-US"/>
    </w:rPr>
  </w:style>
  <w:style w:type="paragraph" w:styleId="Nadpis9">
    <w:name w:val="heading 9"/>
    <w:basedOn w:val="Normln"/>
    <w:next w:val="Normln"/>
    <w:qFormat/>
    <w:pPr>
      <w:keepNext/>
      <w:jc w:val="center"/>
      <w:outlineLvl w:val="8"/>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dku">
    <w:name w:val="line number"/>
    <w:rPr>
      <w:rFonts w:ascii="F015TEE" w:hAnsi="F015TEE"/>
    </w:rPr>
  </w:style>
  <w:style w:type="paragraph" w:customStyle="1" w:styleId="BodyText21">
    <w:name w:val="Body Text 21"/>
    <w:basedOn w:val="Normln"/>
    <w:pPr>
      <w:jc w:val="both"/>
    </w:pPr>
    <w:rPr>
      <w:rFonts w:ascii="F015TEELig" w:hAnsi="F015TEELig"/>
    </w:rPr>
  </w:style>
  <w:style w:type="paragraph" w:customStyle="1" w:styleId="BodyTextIndent31">
    <w:name w:val="Body Text Indent 31"/>
    <w:basedOn w:val="Normln"/>
    <w:pPr>
      <w:ind w:left="426" w:hanging="426"/>
      <w:jc w:val="both"/>
    </w:pPr>
    <w:rPr>
      <w:lang w:val="en-US"/>
    </w:rPr>
  </w:style>
  <w:style w:type="paragraph" w:styleId="Zkladntextodsazen2">
    <w:name w:val="Body Text Indent 2"/>
    <w:basedOn w:val="Normln"/>
    <w:link w:val="Zkladntextodsazen2Char"/>
    <w:pPr>
      <w:ind w:left="426"/>
      <w:jc w:val="both"/>
    </w:pPr>
    <w:rPr>
      <w:color w:val="000000"/>
    </w:rPr>
  </w:style>
  <w:style w:type="paragraph" w:customStyle="1" w:styleId="BodyTextIndent21">
    <w:name w:val="Body Text Indent 21"/>
    <w:basedOn w:val="Normln"/>
    <w:pPr>
      <w:ind w:left="426" w:hanging="567"/>
      <w:jc w:val="both"/>
    </w:pPr>
  </w:style>
  <w:style w:type="paragraph" w:styleId="Zkladntext">
    <w:name w:val="Body Text"/>
    <w:basedOn w:val="Normln"/>
    <w:link w:val="ZkladntextChar"/>
    <w:pPr>
      <w:spacing w:before="120"/>
      <w:jc w:val="both"/>
    </w:pPr>
    <w:rPr>
      <w:rFonts w:ascii="Arial" w:hAnsi="Arial"/>
      <w:sz w:val="22"/>
    </w:rPr>
  </w:style>
  <w:style w:type="paragraph" w:styleId="Zkladntextodsazen3">
    <w:name w:val="Body Text Indent 3"/>
    <w:basedOn w:val="Normln"/>
    <w:link w:val="Zkladntextodsazen3Char"/>
    <w:uiPriority w:val="99"/>
    <w:pPr>
      <w:ind w:left="851" w:hanging="426"/>
      <w:jc w:val="both"/>
    </w:pPr>
  </w:style>
  <w:style w:type="paragraph" w:styleId="Zkladntextodsazen">
    <w:name w:val="Body Text Indent"/>
    <w:basedOn w:val="Normln"/>
    <w:link w:val="ZkladntextodsazenChar"/>
    <w:pPr>
      <w:ind w:left="709" w:hanging="283"/>
      <w:jc w:val="both"/>
    </w:pPr>
  </w:style>
  <w:style w:type="paragraph" w:customStyle="1" w:styleId="Styl1">
    <w:name w:val="Styl1"/>
    <w:basedOn w:val="Normln"/>
    <w:pPr>
      <w:jc w:val="both"/>
    </w:pPr>
    <w:rPr>
      <w:rFonts w:ascii="NimbusSanDEELig" w:hAnsi="NimbusSanDEELig"/>
    </w:rPr>
  </w:style>
  <w:style w:type="character" w:styleId="slostrnky">
    <w:name w:val="page number"/>
    <w:basedOn w:val="Standardnpsmoodstavce"/>
  </w:style>
  <w:style w:type="paragraph" w:styleId="Zpat">
    <w:name w:val="footer"/>
    <w:basedOn w:val="Normln"/>
    <w:pPr>
      <w:tabs>
        <w:tab w:val="center" w:pos="4153"/>
        <w:tab w:val="right" w:pos="8306"/>
      </w:tabs>
    </w:pPr>
    <w:rPr>
      <w:rFonts w:ascii="Times New Roman" w:hAnsi="Times New Roman"/>
      <w:sz w:val="14"/>
      <w:lang w:val="en-US"/>
    </w:rPr>
  </w:style>
  <w:style w:type="paragraph" w:styleId="Zhlav">
    <w:name w:val="header"/>
    <w:basedOn w:val="Normln"/>
    <w:pPr>
      <w:tabs>
        <w:tab w:val="center" w:pos="4153"/>
        <w:tab w:val="right" w:pos="8306"/>
      </w:tabs>
      <w:jc w:val="both"/>
    </w:pPr>
    <w:rPr>
      <w:rFonts w:ascii="Times New Roman" w:hAnsi="Times New Roman"/>
      <w:sz w:val="24"/>
      <w:lang w:val="en-US"/>
    </w:rPr>
  </w:style>
  <w:style w:type="paragraph" w:styleId="Zkladntext2">
    <w:name w:val="Body Text 2"/>
    <w:basedOn w:val="Normln"/>
    <w:pPr>
      <w:jc w:val="both"/>
    </w:pPr>
    <w:rPr>
      <w:b/>
      <w:vanish/>
      <w:color w:val="FF0000"/>
    </w:rPr>
  </w:style>
  <w:style w:type="paragraph" w:customStyle="1" w:styleId="Date1">
    <w:name w:val="Date1"/>
    <w:basedOn w:val="Normln"/>
    <w:pPr>
      <w:spacing w:after="120"/>
    </w:pPr>
    <w:rPr>
      <w:rFonts w:ascii="Times New Roman" w:hAnsi="Times New Roman"/>
      <w:b/>
      <w:sz w:val="24"/>
    </w:rPr>
  </w:style>
  <w:style w:type="paragraph" w:customStyle="1" w:styleId="f2">
    <w:name w:val="f2"/>
    <w:basedOn w:val="Normln"/>
    <w:next w:val="Normln"/>
    <w:pPr>
      <w:keepNext/>
      <w:spacing w:after="240"/>
      <w:jc w:val="both"/>
    </w:pPr>
    <w:rPr>
      <w:rFonts w:ascii="Times New Roman" w:hAnsi="Times New Roman"/>
      <w:sz w:val="24"/>
      <w:lang w:val="en-GB"/>
    </w:rPr>
  </w:style>
  <w:style w:type="paragraph" w:customStyle="1" w:styleId="norml">
    <w:name w:val="normál"/>
    <w:basedOn w:val="Normln"/>
    <w:pPr>
      <w:jc w:val="both"/>
    </w:pPr>
    <w:rPr>
      <w:rFonts w:ascii="Times New Roman" w:hAnsi="Times New Roman"/>
      <w:spacing w:val="20"/>
      <w:sz w:val="24"/>
    </w:rPr>
  </w:style>
  <w:style w:type="paragraph" w:styleId="Textvbloku">
    <w:name w:val="Block Text"/>
    <w:basedOn w:val="Normln"/>
    <w:pPr>
      <w:ind w:left="420" w:right="-192"/>
      <w:jc w:val="both"/>
    </w:pPr>
    <w:rPr>
      <w:b/>
      <w:smallCaps/>
      <w:vanish/>
      <w:color w:val="FF00FF"/>
    </w:rPr>
  </w:style>
  <w:style w:type="paragraph" w:styleId="Zkladntext3">
    <w:name w:val="Body Text 3"/>
    <w:basedOn w:val="Normln"/>
    <w:pPr>
      <w:ind w:right="-193"/>
      <w:jc w:val="both"/>
    </w:pPr>
    <w:rPr>
      <w:b/>
      <w:smallCaps/>
      <w:vanish/>
      <w:color w:val="FF00FF"/>
    </w:rPr>
  </w:style>
  <w:style w:type="paragraph" w:customStyle="1" w:styleId="f3">
    <w:name w:val="f3"/>
    <w:basedOn w:val="f2"/>
    <w:next w:val="Normln"/>
    <w:pPr>
      <w:keepNext w:val="0"/>
      <w:jc w:val="right"/>
    </w:pPr>
    <w:rPr>
      <w:u w:val="single"/>
    </w:rPr>
  </w:style>
  <w:style w:type="paragraph" w:customStyle="1" w:styleId="para2">
    <w:name w:val="para2"/>
    <w:basedOn w:val="Normln"/>
    <w:pPr>
      <w:tabs>
        <w:tab w:val="left" w:pos="567"/>
      </w:tabs>
      <w:spacing w:after="120"/>
      <w:ind w:left="1134" w:hanging="567"/>
      <w:jc w:val="both"/>
    </w:pPr>
    <w:rPr>
      <w:rFonts w:ascii="Times New Roman" w:hAnsi="Times New Roman"/>
      <w:sz w:val="24"/>
    </w:rPr>
  </w:style>
  <w:style w:type="paragraph" w:customStyle="1" w:styleId="tabulka">
    <w:name w:val="tabulka"/>
    <w:basedOn w:val="Normln"/>
    <w:pPr>
      <w:jc w:val="center"/>
    </w:pPr>
    <w:rPr>
      <w:rFonts w:ascii="Times New Roman" w:hAnsi="Times New Roman"/>
      <w:sz w:val="22"/>
    </w:rPr>
  </w:style>
  <w:style w:type="paragraph" w:styleId="Rozloendokumentu">
    <w:name w:val="Document Map"/>
    <w:basedOn w:val="Normln"/>
    <w:semiHidden/>
    <w:pPr>
      <w:shd w:val="clear" w:color="auto" w:fill="000080"/>
    </w:pPr>
    <w:rPr>
      <w:rFonts w:ascii="Tahoma" w:hAnsi="Tahoma"/>
    </w:rPr>
  </w:style>
  <w:style w:type="paragraph" w:customStyle="1" w:styleId="f1">
    <w:name w:val="f1"/>
    <w:basedOn w:val="Normln"/>
    <w:next w:val="Normln"/>
    <w:pPr>
      <w:keepNext/>
      <w:spacing w:after="240"/>
      <w:jc w:val="both"/>
    </w:pPr>
    <w:rPr>
      <w:rFonts w:ascii="Times New Roman" w:hAnsi="Times New Roman"/>
      <w:b/>
      <w:sz w:val="24"/>
      <w:lang w:val="en-GB"/>
    </w:rPr>
  </w:style>
  <w:style w:type="paragraph" w:customStyle="1" w:styleId="para1">
    <w:name w:val="para1"/>
    <w:basedOn w:val="Normln"/>
    <w:next w:val="Normln"/>
    <w:pPr>
      <w:jc w:val="both"/>
    </w:pPr>
    <w:rPr>
      <w:rFonts w:ascii="Times New Roman" w:hAnsi="Times New Roman"/>
      <w:b/>
      <w:sz w:val="24"/>
    </w:rPr>
  </w:style>
  <w:style w:type="paragraph" w:customStyle="1" w:styleId="para3">
    <w:name w:val="para3"/>
    <w:basedOn w:val="Normln"/>
    <w:pPr>
      <w:tabs>
        <w:tab w:val="left" w:pos="1134"/>
      </w:tabs>
      <w:ind w:left="1701" w:hanging="1701"/>
      <w:jc w:val="both"/>
    </w:pPr>
    <w:rPr>
      <w:rFonts w:ascii="Times New Roman" w:hAnsi="Times New Roman"/>
      <w:sz w:val="24"/>
    </w:rPr>
  </w:style>
  <w:style w:type="character" w:styleId="Hypertextovodkaz">
    <w:name w:val="Hyperlink"/>
    <w:rsid w:val="002C6190"/>
    <w:rPr>
      <w:color w:val="0000FF"/>
      <w:u w:val="single"/>
    </w:rPr>
  </w:style>
  <w:style w:type="paragraph" w:customStyle="1" w:styleId="BodyText25">
    <w:name w:val="Body Text 25"/>
    <w:basedOn w:val="Normln"/>
    <w:rsid w:val="009A3BF3"/>
    <w:pPr>
      <w:tabs>
        <w:tab w:val="center" w:pos="993"/>
      </w:tabs>
      <w:jc w:val="both"/>
    </w:pPr>
    <w:rPr>
      <w:rFonts w:ascii="F015TEELig" w:hAnsi="F015TEELig"/>
    </w:rPr>
  </w:style>
  <w:style w:type="paragraph" w:customStyle="1" w:styleId="BodyTextIndent22">
    <w:name w:val="Body Text Indent 22"/>
    <w:basedOn w:val="Normln"/>
    <w:rsid w:val="009A3BF3"/>
    <w:pPr>
      <w:ind w:left="426" w:hanging="426"/>
      <w:jc w:val="both"/>
    </w:pPr>
    <w:rPr>
      <w:rFonts w:ascii="F015TEELig" w:hAnsi="F015TEELig"/>
    </w:rPr>
  </w:style>
  <w:style w:type="paragraph" w:customStyle="1" w:styleId="BodyText22">
    <w:name w:val="Body Text 22"/>
    <w:basedOn w:val="Normln"/>
    <w:rsid w:val="009A3BF3"/>
    <w:pPr>
      <w:ind w:left="426"/>
      <w:jc w:val="both"/>
    </w:pPr>
  </w:style>
  <w:style w:type="character" w:styleId="Odkaznakoment">
    <w:name w:val="annotation reference"/>
    <w:semiHidden/>
    <w:rsid w:val="00ED176A"/>
    <w:rPr>
      <w:sz w:val="16"/>
      <w:szCs w:val="16"/>
    </w:rPr>
  </w:style>
  <w:style w:type="paragraph" w:styleId="Textkomente">
    <w:name w:val="annotation text"/>
    <w:basedOn w:val="Normln"/>
    <w:semiHidden/>
    <w:rsid w:val="00ED176A"/>
    <w:rPr>
      <w:rFonts w:ascii="Times New Roman" w:hAnsi="Times New Roman"/>
    </w:rPr>
  </w:style>
  <w:style w:type="table" w:styleId="Mkatabulky">
    <w:name w:val="Table Grid"/>
    <w:basedOn w:val="Normlntabulka"/>
    <w:rsid w:val="00A1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0B0646"/>
    <w:rPr>
      <w:rFonts w:ascii="Tahoma" w:hAnsi="Tahoma" w:cs="Tahoma"/>
      <w:sz w:val="16"/>
      <w:szCs w:val="16"/>
    </w:rPr>
  </w:style>
  <w:style w:type="paragraph" w:styleId="Pedmtkomente">
    <w:name w:val="annotation subject"/>
    <w:basedOn w:val="Textkomente"/>
    <w:next w:val="Textkomente"/>
    <w:semiHidden/>
    <w:rsid w:val="000B0646"/>
    <w:rPr>
      <w:rFonts w:ascii="F015TEE" w:hAnsi="F015TEE"/>
      <w:b/>
      <w:bCs/>
    </w:rPr>
  </w:style>
  <w:style w:type="character" w:styleId="Sledovanodkaz">
    <w:name w:val="FollowedHyperlink"/>
    <w:rsid w:val="00242A43"/>
    <w:rPr>
      <w:color w:val="800080"/>
      <w:u w:val="single"/>
    </w:rPr>
  </w:style>
  <w:style w:type="character" w:customStyle="1" w:styleId="DeltaViewInsertion">
    <w:name w:val="DeltaView Insertion"/>
    <w:uiPriority w:val="99"/>
    <w:rsid w:val="00856DDF"/>
    <w:rPr>
      <w:color w:val="0000FF"/>
      <w:u w:val="double"/>
    </w:rPr>
  </w:style>
  <w:style w:type="character" w:customStyle="1" w:styleId="DeltaViewDeletion">
    <w:name w:val="DeltaView Deletion"/>
    <w:uiPriority w:val="99"/>
    <w:rsid w:val="004621EF"/>
    <w:rPr>
      <w:strike/>
      <w:color w:val="FF0000"/>
    </w:rPr>
  </w:style>
  <w:style w:type="paragraph" w:customStyle="1" w:styleId="BodyText23">
    <w:name w:val="Body Text 23"/>
    <w:basedOn w:val="Normln"/>
    <w:rsid w:val="00782AFB"/>
    <w:pPr>
      <w:jc w:val="both"/>
    </w:pPr>
    <w:rPr>
      <w:rFonts w:ascii="F015TEELig" w:hAnsi="F015TEELig"/>
    </w:rPr>
  </w:style>
  <w:style w:type="paragraph" w:styleId="Revize">
    <w:name w:val="Revision"/>
    <w:hidden/>
    <w:uiPriority w:val="99"/>
    <w:semiHidden/>
    <w:rsid w:val="0013387D"/>
    <w:rPr>
      <w:rFonts w:ascii="F015TEE" w:hAnsi="F015TEE"/>
      <w:lang w:val="cs-CZ" w:eastAsia="cs-CZ"/>
    </w:rPr>
  </w:style>
  <w:style w:type="character" w:customStyle="1" w:styleId="servoinfolink">
    <w:name w:val="servo_info_link"/>
    <w:rsid w:val="00B70A6F"/>
    <w:rPr>
      <w:color w:val="000000"/>
      <w:u w:val="single"/>
    </w:rPr>
  </w:style>
  <w:style w:type="paragraph" w:styleId="Odstavecseseznamem">
    <w:name w:val="List Paragraph"/>
    <w:basedOn w:val="Normln"/>
    <w:uiPriority w:val="34"/>
    <w:qFormat/>
    <w:rsid w:val="00C66634"/>
    <w:pPr>
      <w:ind w:left="720"/>
      <w:contextualSpacing/>
    </w:pPr>
  </w:style>
  <w:style w:type="character" w:customStyle="1" w:styleId="ZkladntextChar">
    <w:name w:val="Základní text Char"/>
    <w:link w:val="Zkladntext"/>
    <w:locked/>
    <w:rsid w:val="00815DE5"/>
    <w:rPr>
      <w:rFonts w:ascii="Arial" w:hAnsi="Arial"/>
      <w:sz w:val="22"/>
      <w:lang w:val="cs-CZ" w:eastAsia="cs-CZ"/>
    </w:rPr>
  </w:style>
  <w:style w:type="character" w:customStyle="1" w:styleId="Zkladntextodsazen3Char">
    <w:name w:val="Základní text odsazený 3 Char"/>
    <w:basedOn w:val="Standardnpsmoodstavce"/>
    <w:link w:val="Zkladntextodsazen3"/>
    <w:uiPriority w:val="99"/>
    <w:rsid w:val="00754DD5"/>
    <w:rPr>
      <w:rFonts w:ascii="F015TEE" w:hAnsi="F015TEE"/>
      <w:lang w:val="cs-CZ" w:eastAsia="cs-CZ"/>
    </w:rPr>
  </w:style>
  <w:style w:type="paragraph" w:styleId="Podnadpis">
    <w:name w:val="Subtitle"/>
    <w:basedOn w:val="Normln"/>
    <w:link w:val="PodnadpisChar"/>
    <w:uiPriority w:val="11"/>
    <w:qFormat/>
    <w:rsid w:val="00B505C4"/>
    <w:pPr>
      <w:spacing w:before="200" w:after="200" w:line="276" w:lineRule="auto"/>
    </w:pPr>
    <w:rPr>
      <w:rFonts w:ascii="Arial" w:eastAsiaTheme="minorHAnsi" w:hAnsi="Arial" w:cs="Arial"/>
      <w:b/>
      <w:bCs/>
      <w:lang w:val="en-US" w:eastAsia="ar-SA"/>
    </w:rPr>
  </w:style>
  <w:style w:type="character" w:customStyle="1" w:styleId="PodnadpisChar">
    <w:name w:val="Podnadpis Char"/>
    <w:basedOn w:val="Standardnpsmoodstavce"/>
    <w:link w:val="Podnadpis"/>
    <w:uiPriority w:val="11"/>
    <w:rsid w:val="00B505C4"/>
    <w:rPr>
      <w:rFonts w:ascii="Arial" w:eastAsiaTheme="minorHAnsi" w:hAnsi="Arial" w:cs="Arial"/>
      <w:b/>
      <w:bCs/>
      <w:lang w:eastAsia="ar-SA"/>
    </w:rPr>
  </w:style>
  <w:style w:type="character" w:customStyle="1" w:styleId="Nadpis1Char">
    <w:name w:val="Nadpis 1 Char"/>
    <w:basedOn w:val="Standardnpsmoodstavce"/>
    <w:link w:val="Nadpis1"/>
    <w:rsid w:val="00714C04"/>
    <w:rPr>
      <w:b/>
      <w:kern w:val="28"/>
      <w:sz w:val="28"/>
      <w:lang w:eastAsia="cs-CZ"/>
    </w:rPr>
  </w:style>
  <w:style w:type="character" w:customStyle="1" w:styleId="Nadpis3Char">
    <w:name w:val="Nadpis 3 Char"/>
    <w:basedOn w:val="Standardnpsmoodstavce"/>
    <w:link w:val="Nadpis3"/>
    <w:rsid w:val="00714C04"/>
    <w:rPr>
      <w:rFonts w:ascii="F015TEE" w:hAnsi="F015TEE"/>
      <w:b/>
      <w:i/>
      <w:color w:val="FF0000"/>
      <w:lang w:val="cs-CZ" w:eastAsia="cs-CZ"/>
    </w:rPr>
  </w:style>
  <w:style w:type="character" w:customStyle="1" w:styleId="Nadpis4Char">
    <w:name w:val="Nadpis 4 Char"/>
    <w:basedOn w:val="Standardnpsmoodstavce"/>
    <w:link w:val="Nadpis4"/>
    <w:rsid w:val="00714C04"/>
    <w:rPr>
      <w:rFonts w:ascii="F015TEELig" w:hAnsi="F015TEELig"/>
      <w:b/>
      <w:i/>
      <w:color w:val="FF0000"/>
      <w:lang w:val="cs-CZ" w:eastAsia="cs-CZ"/>
    </w:rPr>
  </w:style>
  <w:style w:type="character" w:customStyle="1" w:styleId="ZkladntextodsazenChar">
    <w:name w:val="Základní text odsazený Char"/>
    <w:basedOn w:val="Standardnpsmoodstavce"/>
    <w:link w:val="Zkladntextodsazen"/>
    <w:rsid w:val="00714C04"/>
    <w:rPr>
      <w:rFonts w:ascii="F015TEE" w:hAnsi="F015TEE"/>
      <w:lang w:val="cs-CZ" w:eastAsia="cs-CZ"/>
    </w:rPr>
  </w:style>
  <w:style w:type="character" w:customStyle="1" w:styleId="Zkladntextodsazen2Char">
    <w:name w:val="Základní text odsazený 2 Char"/>
    <w:basedOn w:val="Standardnpsmoodstavce"/>
    <w:link w:val="Zkladntextodsazen2"/>
    <w:rsid w:val="00714C04"/>
    <w:rPr>
      <w:rFonts w:ascii="F015TEE" w:hAnsi="F015TEE"/>
      <w:color w:val="00000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6308">
      <w:bodyDiv w:val="1"/>
      <w:marLeft w:val="0"/>
      <w:marRight w:val="0"/>
      <w:marTop w:val="0"/>
      <w:marBottom w:val="0"/>
      <w:divBdr>
        <w:top w:val="none" w:sz="0" w:space="0" w:color="auto"/>
        <w:left w:val="none" w:sz="0" w:space="0" w:color="auto"/>
        <w:bottom w:val="none" w:sz="0" w:space="0" w:color="auto"/>
        <w:right w:val="none" w:sz="0" w:space="0" w:color="auto"/>
      </w:divBdr>
    </w:div>
    <w:div w:id="116530760">
      <w:bodyDiv w:val="1"/>
      <w:marLeft w:val="0"/>
      <w:marRight w:val="0"/>
      <w:marTop w:val="0"/>
      <w:marBottom w:val="0"/>
      <w:divBdr>
        <w:top w:val="none" w:sz="0" w:space="0" w:color="auto"/>
        <w:left w:val="none" w:sz="0" w:space="0" w:color="auto"/>
        <w:bottom w:val="none" w:sz="0" w:space="0" w:color="auto"/>
        <w:right w:val="none" w:sz="0" w:space="0" w:color="auto"/>
      </w:divBdr>
    </w:div>
    <w:div w:id="165557149">
      <w:bodyDiv w:val="1"/>
      <w:marLeft w:val="0"/>
      <w:marRight w:val="0"/>
      <w:marTop w:val="0"/>
      <w:marBottom w:val="0"/>
      <w:divBdr>
        <w:top w:val="none" w:sz="0" w:space="0" w:color="auto"/>
        <w:left w:val="none" w:sz="0" w:space="0" w:color="auto"/>
        <w:bottom w:val="none" w:sz="0" w:space="0" w:color="auto"/>
        <w:right w:val="none" w:sz="0" w:space="0" w:color="auto"/>
      </w:divBdr>
    </w:div>
    <w:div w:id="229314477">
      <w:bodyDiv w:val="1"/>
      <w:marLeft w:val="0"/>
      <w:marRight w:val="0"/>
      <w:marTop w:val="0"/>
      <w:marBottom w:val="0"/>
      <w:divBdr>
        <w:top w:val="none" w:sz="0" w:space="0" w:color="auto"/>
        <w:left w:val="none" w:sz="0" w:space="0" w:color="auto"/>
        <w:bottom w:val="none" w:sz="0" w:space="0" w:color="auto"/>
        <w:right w:val="none" w:sz="0" w:space="0" w:color="auto"/>
      </w:divBdr>
      <w:divsChild>
        <w:div w:id="1642273623">
          <w:marLeft w:val="0"/>
          <w:marRight w:val="0"/>
          <w:marTop w:val="0"/>
          <w:marBottom w:val="0"/>
          <w:divBdr>
            <w:top w:val="none" w:sz="0" w:space="0" w:color="auto"/>
            <w:left w:val="none" w:sz="0" w:space="0" w:color="auto"/>
            <w:bottom w:val="none" w:sz="0" w:space="0" w:color="auto"/>
            <w:right w:val="none" w:sz="0" w:space="0" w:color="auto"/>
          </w:divBdr>
          <w:divsChild>
            <w:div w:id="283655708">
              <w:marLeft w:val="0"/>
              <w:marRight w:val="0"/>
              <w:marTop w:val="0"/>
              <w:marBottom w:val="0"/>
              <w:divBdr>
                <w:top w:val="none" w:sz="0" w:space="0" w:color="auto"/>
                <w:left w:val="none" w:sz="0" w:space="0" w:color="auto"/>
                <w:bottom w:val="none" w:sz="0" w:space="0" w:color="auto"/>
                <w:right w:val="none" w:sz="0" w:space="0" w:color="auto"/>
              </w:divBdr>
              <w:divsChild>
                <w:div w:id="1970016084">
                  <w:marLeft w:val="0"/>
                  <w:marRight w:val="0"/>
                  <w:marTop w:val="0"/>
                  <w:marBottom w:val="0"/>
                  <w:divBdr>
                    <w:top w:val="none" w:sz="0" w:space="0" w:color="auto"/>
                    <w:left w:val="none" w:sz="0" w:space="0" w:color="auto"/>
                    <w:bottom w:val="none" w:sz="0" w:space="0" w:color="auto"/>
                    <w:right w:val="none" w:sz="0" w:space="0" w:color="auto"/>
                  </w:divBdr>
                  <w:divsChild>
                    <w:div w:id="1032458751">
                      <w:marLeft w:val="0"/>
                      <w:marRight w:val="0"/>
                      <w:marTop w:val="0"/>
                      <w:marBottom w:val="0"/>
                      <w:divBdr>
                        <w:top w:val="none" w:sz="0" w:space="0" w:color="auto"/>
                        <w:left w:val="single" w:sz="6" w:space="4" w:color="CDCDCD"/>
                        <w:bottom w:val="single" w:sz="6" w:space="4" w:color="CDCDCD"/>
                        <w:right w:val="single" w:sz="6" w:space="4" w:color="CDCDCD"/>
                      </w:divBdr>
                      <w:divsChild>
                        <w:div w:id="1139609673">
                          <w:marLeft w:val="0"/>
                          <w:marRight w:val="0"/>
                          <w:marTop w:val="0"/>
                          <w:marBottom w:val="0"/>
                          <w:divBdr>
                            <w:top w:val="none" w:sz="0" w:space="0" w:color="auto"/>
                            <w:left w:val="none" w:sz="0" w:space="0" w:color="auto"/>
                            <w:bottom w:val="none" w:sz="0" w:space="0" w:color="auto"/>
                            <w:right w:val="none" w:sz="0" w:space="0" w:color="auto"/>
                          </w:divBdr>
                          <w:divsChild>
                            <w:div w:id="1040277879">
                              <w:marLeft w:val="0"/>
                              <w:marRight w:val="0"/>
                              <w:marTop w:val="0"/>
                              <w:marBottom w:val="0"/>
                              <w:divBdr>
                                <w:top w:val="none" w:sz="0" w:space="0" w:color="auto"/>
                                <w:left w:val="none" w:sz="0" w:space="0" w:color="auto"/>
                                <w:bottom w:val="none" w:sz="0" w:space="0" w:color="auto"/>
                                <w:right w:val="none" w:sz="0" w:space="0" w:color="auto"/>
                              </w:divBdr>
                              <w:divsChild>
                                <w:div w:id="1672954539">
                                  <w:marLeft w:val="0"/>
                                  <w:marRight w:val="0"/>
                                  <w:marTop w:val="0"/>
                                  <w:marBottom w:val="0"/>
                                  <w:divBdr>
                                    <w:top w:val="none" w:sz="0" w:space="0" w:color="auto"/>
                                    <w:left w:val="single" w:sz="6" w:space="4" w:color="CDCDCD"/>
                                    <w:bottom w:val="none" w:sz="0" w:space="0" w:color="auto"/>
                                    <w:right w:val="single" w:sz="6" w:space="4" w:color="CDCDCD"/>
                                  </w:divBdr>
                                  <w:divsChild>
                                    <w:div w:id="20740427">
                                      <w:marLeft w:val="0"/>
                                      <w:marRight w:val="0"/>
                                      <w:marTop w:val="0"/>
                                      <w:marBottom w:val="0"/>
                                      <w:divBdr>
                                        <w:top w:val="none" w:sz="0" w:space="0" w:color="auto"/>
                                        <w:left w:val="none" w:sz="0" w:space="0" w:color="auto"/>
                                        <w:bottom w:val="none" w:sz="0" w:space="0" w:color="auto"/>
                                        <w:right w:val="none" w:sz="0" w:space="0" w:color="auto"/>
                                      </w:divBdr>
                                      <w:divsChild>
                                        <w:div w:id="1971940456">
                                          <w:marLeft w:val="0"/>
                                          <w:marRight w:val="0"/>
                                          <w:marTop w:val="0"/>
                                          <w:marBottom w:val="0"/>
                                          <w:divBdr>
                                            <w:top w:val="none" w:sz="0" w:space="0" w:color="auto"/>
                                            <w:left w:val="none" w:sz="0" w:space="0" w:color="auto"/>
                                            <w:bottom w:val="none" w:sz="0" w:space="0" w:color="auto"/>
                                            <w:right w:val="none" w:sz="0" w:space="0" w:color="auto"/>
                                          </w:divBdr>
                                          <w:divsChild>
                                            <w:div w:id="4193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759798">
      <w:bodyDiv w:val="1"/>
      <w:marLeft w:val="0"/>
      <w:marRight w:val="0"/>
      <w:marTop w:val="0"/>
      <w:marBottom w:val="0"/>
      <w:divBdr>
        <w:top w:val="none" w:sz="0" w:space="0" w:color="auto"/>
        <w:left w:val="none" w:sz="0" w:space="0" w:color="auto"/>
        <w:bottom w:val="none" w:sz="0" w:space="0" w:color="auto"/>
        <w:right w:val="none" w:sz="0" w:space="0" w:color="auto"/>
      </w:divBdr>
    </w:div>
    <w:div w:id="324018003">
      <w:bodyDiv w:val="1"/>
      <w:marLeft w:val="0"/>
      <w:marRight w:val="0"/>
      <w:marTop w:val="0"/>
      <w:marBottom w:val="0"/>
      <w:divBdr>
        <w:top w:val="none" w:sz="0" w:space="0" w:color="auto"/>
        <w:left w:val="none" w:sz="0" w:space="0" w:color="auto"/>
        <w:bottom w:val="none" w:sz="0" w:space="0" w:color="auto"/>
        <w:right w:val="none" w:sz="0" w:space="0" w:color="auto"/>
      </w:divBdr>
      <w:divsChild>
        <w:div w:id="1251348853">
          <w:marLeft w:val="0"/>
          <w:marRight w:val="0"/>
          <w:marTop w:val="0"/>
          <w:marBottom w:val="0"/>
          <w:divBdr>
            <w:top w:val="none" w:sz="0" w:space="0" w:color="auto"/>
            <w:left w:val="none" w:sz="0" w:space="0" w:color="auto"/>
            <w:bottom w:val="none" w:sz="0" w:space="0" w:color="auto"/>
            <w:right w:val="none" w:sz="0" w:space="0" w:color="auto"/>
          </w:divBdr>
          <w:divsChild>
            <w:div w:id="330909990">
              <w:marLeft w:val="0"/>
              <w:marRight w:val="0"/>
              <w:marTop w:val="0"/>
              <w:marBottom w:val="0"/>
              <w:divBdr>
                <w:top w:val="none" w:sz="0" w:space="0" w:color="auto"/>
                <w:left w:val="none" w:sz="0" w:space="0" w:color="auto"/>
                <w:bottom w:val="none" w:sz="0" w:space="0" w:color="auto"/>
                <w:right w:val="none" w:sz="0" w:space="0" w:color="auto"/>
              </w:divBdr>
              <w:divsChild>
                <w:div w:id="1354383588">
                  <w:marLeft w:val="0"/>
                  <w:marRight w:val="0"/>
                  <w:marTop w:val="0"/>
                  <w:marBottom w:val="0"/>
                  <w:divBdr>
                    <w:top w:val="none" w:sz="0" w:space="0" w:color="auto"/>
                    <w:left w:val="none" w:sz="0" w:space="0" w:color="auto"/>
                    <w:bottom w:val="none" w:sz="0" w:space="0" w:color="auto"/>
                    <w:right w:val="none" w:sz="0" w:space="0" w:color="auto"/>
                  </w:divBdr>
                  <w:divsChild>
                    <w:div w:id="859003679">
                      <w:marLeft w:val="0"/>
                      <w:marRight w:val="0"/>
                      <w:marTop w:val="0"/>
                      <w:marBottom w:val="0"/>
                      <w:divBdr>
                        <w:top w:val="none" w:sz="0" w:space="0" w:color="auto"/>
                        <w:left w:val="single" w:sz="6" w:space="4" w:color="CDCDCD"/>
                        <w:bottom w:val="single" w:sz="6" w:space="4" w:color="CDCDCD"/>
                        <w:right w:val="single" w:sz="6" w:space="4" w:color="CDCDCD"/>
                      </w:divBdr>
                      <w:divsChild>
                        <w:div w:id="87432332">
                          <w:marLeft w:val="0"/>
                          <w:marRight w:val="0"/>
                          <w:marTop w:val="0"/>
                          <w:marBottom w:val="0"/>
                          <w:divBdr>
                            <w:top w:val="none" w:sz="0" w:space="0" w:color="auto"/>
                            <w:left w:val="none" w:sz="0" w:space="0" w:color="auto"/>
                            <w:bottom w:val="none" w:sz="0" w:space="0" w:color="auto"/>
                            <w:right w:val="none" w:sz="0" w:space="0" w:color="auto"/>
                          </w:divBdr>
                          <w:divsChild>
                            <w:div w:id="1868446254">
                              <w:marLeft w:val="0"/>
                              <w:marRight w:val="0"/>
                              <w:marTop w:val="0"/>
                              <w:marBottom w:val="0"/>
                              <w:divBdr>
                                <w:top w:val="none" w:sz="0" w:space="0" w:color="auto"/>
                                <w:left w:val="none" w:sz="0" w:space="0" w:color="auto"/>
                                <w:bottom w:val="none" w:sz="0" w:space="0" w:color="auto"/>
                                <w:right w:val="none" w:sz="0" w:space="0" w:color="auto"/>
                              </w:divBdr>
                              <w:divsChild>
                                <w:div w:id="895824495">
                                  <w:marLeft w:val="0"/>
                                  <w:marRight w:val="0"/>
                                  <w:marTop w:val="0"/>
                                  <w:marBottom w:val="0"/>
                                  <w:divBdr>
                                    <w:top w:val="none" w:sz="0" w:space="0" w:color="auto"/>
                                    <w:left w:val="single" w:sz="6" w:space="4" w:color="CDCDCD"/>
                                    <w:bottom w:val="none" w:sz="0" w:space="0" w:color="auto"/>
                                    <w:right w:val="single" w:sz="6" w:space="4" w:color="CDCDCD"/>
                                  </w:divBdr>
                                  <w:divsChild>
                                    <w:div w:id="1145004570">
                                      <w:marLeft w:val="0"/>
                                      <w:marRight w:val="0"/>
                                      <w:marTop w:val="0"/>
                                      <w:marBottom w:val="0"/>
                                      <w:divBdr>
                                        <w:top w:val="none" w:sz="0" w:space="0" w:color="auto"/>
                                        <w:left w:val="none" w:sz="0" w:space="0" w:color="auto"/>
                                        <w:bottom w:val="none" w:sz="0" w:space="0" w:color="auto"/>
                                        <w:right w:val="none" w:sz="0" w:space="0" w:color="auto"/>
                                      </w:divBdr>
                                      <w:divsChild>
                                        <w:div w:id="1612783606">
                                          <w:marLeft w:val="0"/>
                                          <w:marRight w:val="0"/>
                                          <w:marTop w:val="0"/>
                                          <w:marBottom w:val="0"/>
                                          <w:divBdr>
                                            <w:top w:val="none" w:sz="0" w:space="0" w:color="auto"/>
                                            <w:left w:val="none" w:sz="0" w:space="0" w:color="auto"/>
                                            <w:bottom w:val="none" w:sz="0" w:space="0" w:color="auto"/>
                                            <w:right w:val="none" w:sz="0" w:space="0" w:color="auto"/>
                                          </w:divBdr>
                                          <w:divsChild>
                                            <w:div w:id="3732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717663">
      <w:bodyDiv w:val="1"/>
      <w:marLeft w:val="0"/>
      <w:marRight w:val="0"/>
      <w:marTop w:val="0"/>
      <w:marBottom w:val="0"/>
      <w:divBdr>
        <w:top w:val="none" w:sz="0" w:space="0" w:color="auto"/>
        <w:left w:val="none" w:sz="0" w:space="0" w:color="auto"/>
        <w:bottom w:val="none" w:sz="0" w:space="0" w:color="auto"/>
        <w:right w:val="none" w:sz="0" w:space="0" w:color="auto"/>
      </w:divBdr>
    </w:div>
    <w:div w:id="476806742">
      <w:bodyDiv w:val="1"/>
      <w:marLeft w:val="0"/>
      <w:marRight w:val="0"/>
      <w:marTop w:val="0"/>
      <w:marBottom w:val="0"/>
      <w:divBdr>
        <w:top w:val="none" w:sz="0" w:space="0" w:color="auto"/>
        <w:left w:val="none" w:sz="0" w:space="0" w:color="auto"/>
        <w:bottom w:val="none" w:sz="0" w:space="0" w:color="auto"/>
        <w:right w:val="none" w:sz="0" w:space="0" w:color="auto"/>
      </w:divBdr>
    </w:div>
    <w:div w:id="512963349">
      <w:bodyDiv w:val="1"/>
      <w:marLeft w:val="0"/>
      <w:marRight w:val="0"/>
      <w:marTop w:val="0"/>
      <w:marBottom w:val="0"/>
      <w:divBdr>
        <w:top w:val="none" w:sz="0" w:space="0" w:color="auto"/>
        <w:left w:val="none" w:sz="0" w:space="0" w:color="auto"/>
        <w:bottom w:val="none" w:sz="0" w:space="0" w:color="auto"/>
        <w:right w:val="none" w:sz="0" w:space="0" w:color="auto"/>
      </w:divBdr>
    </w:div>
    <w:div w:id="609554722">
      <w:bodyDiv w:val="1"/>
      <w:marLeft w:val="0"/>
      <w:marRight w:val="0"/>
      <w:marTop w:val="0"/>
      <w:marBottom w:val="0"/>
      <w:divBdr>
        <w:top w:val="none" w:sz="0" w:space="0" w:color="auto"/>
        <w:left w:val="none" w:sz="0" w:space="0" w:color="auto"/>
        <w:bottom w:val="none" w:sz="0" w:space="0" w:color="auto"/>
        <w:right w:val="none" w:sz="0" w:space="0" w:color="auto"/>
      </w:divBdr>
    </w:div>
    <w:div w:id="611664759">
      <w:bodyDiv w:val="1"/>
      <w:marLeft w:val="0"/>
      <w:marRight w:val="0"/>
      <w:marTop w:val="0"/>
      <w:marBottom w:val="0"/>
      <w:divBdr>
        <w:top w:val="none" w:sz="0" w:space="0" w:color="auto"/>
        <w:left w:val="none" w:sz="0" w:space="0" w:color="auto"/>
        <w:bottom w:val="none" w:sz="0" w:space="0" w:color="auto"/>
        <w:right w:val="none" w:sz="0" w:space="0" w:color="auto"/>
      </w:divBdr>
    </w:div>
    <w:div w:id="692920489">
      <w:bodyDiv w:val="1"/>
      <w:marLeft w:val="0"/>
      <w:marRight w:val="0"/>
      <w:marTop w:val="0"/>
      <w:marBottom w:val="0"/>
      <w:divBdr>
        <w:top w:val="none" w:sz="0" w:space="0" w:color="auto"/>
        <w:left w:val="none" w:sz="0" w:space="0" w:color="auto"/>
        <w:bottom w:val="none" w:sz="0" w:space="0" w:color="auto"/>
        <w:right w:val="none" w:sz="0" w:space="0" w:color="auto"/>
      </w:divBdr>
    </w:div>
    <w:div w:id="700328882">
      <w:bodyDiv w:val="1"/>
      <w:marLeft w:val="0"/>
      <w:marRight w:val="0"/>
      <w:marTop w:val="0"/>
      <w:marBottom w:val="0"/>
      <w:divBdr>
        <w:top w:val="none" w:sz="0" w:space="0" w:color="auto"/>
        <w:left w:val="none" w:sz="0" w:space="0" w:color="auto"/>
        <w:bottom w:val="none" w:sz="0" w:space="0" w:color="auto"/>
        <w:right w:val="none" w:sz="0" w:space="0" w:color="auto"/>
      </w:divBdr>
    </w:div>
    <w:div w:id="700591858">
      <w:bodyDiv w:val="1"/>
      <w:marLeft w:val="0"/>
      <w:marRight w:val="0"/>
      <w:marTop w:val="0"/>
      <w:marBottom w:val="0"/>
      <w:divBdr>
        <w:top w:val="none" w:sz="0" w:space="0" w:color="auto"/>
        <w:left w:val="none" w:sz="0" w:space="0" w:color="auto"/>
        <w:bottom w:val="none" w:sz="0" w:space="0" w:color="auto"/>
        <w:right w:val="none" w:sz="0" w:space="0" w:color="auto"/>
      </w:divBdr>
    </w:div>
    <w:div w:id="702053251">
      <w:bodyDiv w:val="1"/>
      <w:marLeft w:val="0"/>
      <w:marRight w:val="0"/>
      <w:marTop w:val="0"/>
      <w:marBottom w:val="0"/>
      <w:divBdr>
        <w:top w:val="none" w:sz="0" w:space="0" w:color="auto"/>
        <w:left w:val="none" w:sz="0" w:space="0" w:color="auto"/>
        <w:bottom w:val="none" w:sz="0" w:space="0" w:color="auto"/>
        <w:right w:val="none" w:sz="0" w:space="0" w:color="auto"/>
      </w:divBdr>
    </w:div>
    <w:div w:id="720709031">
      <w:bodyDiv w:val="1"/>
      <w:marLeft w:val="0"/>
      <w:marRight w:val="0"/>
      <w:marTop w:val="0"/>
      <w:marBottom w:val="0"/>
      <w:divBdr>
        <w:top w:val="none" w:sz="0" w:space="0" w:color="auto"/>
        <w:left w:val="none" w:sz="0" w:space="0" w:color="auto"/>
        <w:bottom w:val="none" w:sz="0" w:space="0" w:color="auto"/>
        <w:right w:val="none" w:sz="0" w:space="0" w:color="auto"/>
      </w:divBdr>
    </w:div>
    <w:div w:id="844899862">
      <w:bodyDiv w:val="1"/>
      <w:marLeft w:val="0"/>
      <w:marRight w:val="0"/>
      <w:marTop w:val="0"/>
      <w:marBottom w:val="0"/>
      <w:divBdr>
        <w:top w:val="none" w:sz="0" w:space="0" w:color="auto"/>
        <w:left w:val="none" w:sz="0" w:space="0" w:color="auto"/>
        <w:bottom w:val="none" w:sz="0" w:space="0" w:color="auto"/>
        <w:right w:val="none" w:sz="0" w:space="0" w:color="auto"/>
      </w:divBdr>
    </w:div>
    <w:div w:id="862014500">
      <w:bodyDiv w:val="1"/>
      <w:marLeft w:val="0"/>
      <w:marRight w:val="0"/>
      <w:marTop w:val="0"/>
      <w:marBottom w:val="0"/>
      <w:divBdr>
        <w:top w:val="none" w:sz="0" w:space="0" w:color="auto"/>
        <w:left w:val="none" w:sz="0" w:space="0" w:color="auto"/>
        <w:bottom w:val="none" w:sz="0" w:space="0" w:color="auto"/>
        <w:right w:val="none" w:sz="0" w:space="0" w:color="auto"/>
      </w:divBdr>
    </w:div>
    <w:div w:id="873465879">
      <w:bodyDiv w:val="1"/>
      <w:marLeft w:val="0"/>
      <w:marRight w:val="0"/>
      <w:marTop w:val="0"/>
      <w:marBottom w:val="0"/>
      <w:divBdr>
        <w:top w:val="none" w:sz="0" w:space="0" w:color="auto"/>
        <w:left w:val="none" w:sz="0" w:space="0" w:color="auto"/>
        <w:bottom w:val="none" w:sz="0" w:space="0" w:color="auto"/>
        <w:right w:val="none" w:sz="0" w:space="0" w:color="auto"/>
      </w:divBdr>
    </w:div>
    <w:div w:id="1063329106">
      <w:bodyDiv w:val="1"/>
      <w:marLeft w:val="0"/>
      <w:marRight w:val="0"/>
      <w:marTop w:val="0"/>
      <w:marBottom w:val="0"/>
      <w:divBdr>
        <w:top w:val="none" w:sz="0" w:space="0" w:color="auto"/>
        <w:left w:val="none" w:sz="0" w:space="0" w:color="auto"/>
        <w:bottom w:val="none" w:sz="0" w:space="0" w:color="auto"/>
        <w:right w:val="none" w:sz="0" w:space="0" w:color="auto"/>
      </w:divBdr>
    </w:div>
    <w:div w:id="1145203559">
      <w:bodyDiv w:val="1"/>
      <w:marLeft w:val="0"/>
      <w:marRight w:val="0"/>
      <w:marTop w:val="0"/>
      <w:marBottom w:val="0"/>
      <w:divBdr>
        <w:top w:val="none" w:sz="0" w:space="0" w:color="auto"/>
        <w:left w:val="none" w:sz="0" w:space="0" w:color="auto"/>
        <w:bottom w:val="none" w:sz="0" w:space="0" w:color="auto"/>
        <w:right w:val="none" w:sz="0" w:space="0" w:color="auto"/>
      </w:divBdr>
    </w:div>
    <w:div w:id="1225221878">
      <w:bodyDiv w:val="1"/>
      <w:marLeft w:val="0"/>
      <w:marRight w:val="0"/>
      <w:marTop w:val="0"/>
      <w:marBottom w:val="0"/>
      <w:divBdr>
        <w:top w:val="none" w:sz="0" w:space="0" w:color="auto"/>
        <w:left w:val="none" w:sz="0" w:space="0" w:color="auto"/>
        <w:bottom w:val="none" w:sz="0" w:space="0" w:color="auto"/>
        <w:right w:val="none" w:sz="0" w:space="0" w:color="auto"/>
      </w:divBdr>
    </w:div>
    <w:div w:id="1451129368">
      <w:bodyDiv w:val="1"/>
      <w:marLeft w:val="0"/>
      <w:marRight w:val="0"/>
      <w:marTop w:val="0"/>
      <w:marBottom w:val="0"/>
      <w:divBdr>
        <w:top w:val="none" w:sz="0" w:space="0" w:color="auto"/>
        <w:left w:val="none" w:sz="0" w:space="0" w:color="auto"/>
        <w:bottom w:val="none" w:sz="0" w:space="0" w:color="auto"/>
        <w:right w:val="none" w:sz="0" w:space="0" w:color="auto"/>
      </w:divBdr>
    </w:div>
    <w:div w:id="1463381834">
      <w:bodyDiv w:val="1"/>
      <w:marLeft w:val="0"/>
      <w:marRight w:val="0"/>
      <w:marTop w:val="0"/>
      <w:marBottom w:val="0"/>
      <w:divBdr>
        <w:top w:val="none" w:sz="0" w:space="0" w:color="auto"/>
        <w:left w:val="none" w:sz="0" w:space="0" w:color="auto"/>
        <w:bottom w:val="none" w:sz="0" w:space="0" w:color="auto"/>
        <w:right w:val="none" w:sz="0" w:space="0" w:color="auto"/>
      </w:divBdr>
    </w:div>
    <w:div w:id="1497188780">
      <w:bodyDiv w:val="1"/>
      <w:marLeft w:val="0"/>
      <w:marRight w:val="0"/>
      <w:marTop w:val="0"/>
      <w:marBottom w:val="0"/>
      <w:divBdr>
        <w:top w:val="none" w:sz="0" w:space="0" w:color="auto"/>
        <w:left w:val="none" w:sz="0" w:space="0" w:color="auto"/>
        <w:bottom w:val="none" w:sz="0" w:space="0" w:color="auto"/>
        <w:right w:val="none" w:sz="0" w:space="0" w:color="auto"/>
      </w:divBdr>
    </w:div>
    <w:div w:id="1511024539">
      <w:bodyDiv w:val="1"/>
      <w:marLeft w:val="0"/>
      <w:marRight w:val="0"/>
      <w:marTop w:val="0"/>
      <w:marBottom w:val="0"/>
      <w:divBdr>
        <w:top w:val="none" w:sz="0" w:space="0" w:color="auto"/>
        <w:left w:val="none" w:sz="0" w:space="0" w:color="auto"/>
        <w:bottom w:val="none" w:sz="0" w:space="0" w:color="auto"/>
        <w:right w:val="none" w:sz="0" w:space="0" w:color="auto"/>
      </w:divBdr>
    </w:div>
    <w:div w:id="1531410856">
      <w:bodyDiv w:val="1"/>
      <w:marLeft w:val="0"/>
      <w:marRight w:val="0"/>
      <w:marTop w:val="0"/>
      <w:marBottom w:val="0"/>
      <w:divBdr>
        <w:top w:val="none" w:sz="0" w:space="0" w:color="auto"/>
        <w:left w:val="none" w:sz="0" w:space="0" w:color="auto"/>
        <w:bottom w:val="none" w:sz="0" w:space="0" w:color="auto"/>
        <w:right w:val="none" w:sz="0" w:space="0" w:color="auto"/>
      </w:divBdr>
    </w:div>
    <w:div w:id="1545170784">
      <w:bodyDiv w:val="1"/>
      <w:marLeft w:val="0"/>
      <w:marRight w:val="0"/>
      <w:marTop w:val="0"/>
      <w:marBottom w:val="0"/>
      <w:divBdr>
        <w:top w:val="none" w:sz="0" w:space="0" w:color="auto"/>
        <w:left w:val="none" w:sz="0" w:space="0" w:color="auto"/>
        <w:bottom w:val="none" w:sz="0" w:space="0" w:color="auto"/>
        <w:right w:val="none" w:sz="0" w:space="0" w:color="auto"/>
      </w:divBdr>
    </w:div>
    <w:div w:id="1618221199">
      <w:bodyDiv w:val="1"/>
      <w:marLeft w:val="0"/>
      <w:marRight w:val="0"/>
      <w:marTop w:val="0"/>
      <w:marBottom w:val="0"/>
      <w:divBdr>
        <w:top w:val="none" w:sz="0" w:space="0" w:color="auto"/>
        <w:left w:val="none" w:sz="0" w:space="0" w:color="auto"/>
        <w:bottom w:val="none" w:sz="0" w:space="0" w:color="auto"/>
        <w:right w:val="none" w:sz="0" w:space="0" w:color="auto"/>
      </w:divBdr>
    </w:div>
    <w:div w:id="1624841466">
      <w:bodyDiv w:val="1"/>
      <w:marLeft w:val="0"/>
      <w:marRight w:val="0"/>
      <w:marTop w:val="0"/>
      <w:marBottom w:val="0"/>
      <w:divBdr>
        <w:top w:val="none" w:sz="0" w:space="0" w:color="auto"/>
        <w:left w:val="none" w:sz="0" w:space="0" w:color="auto"/>
        <w:bottom w:val="none" w:sz="0" w:space="0" w:color="auto"/>
        <w:right w:val="none" w:sz="0" w:space="0" w:color="auto"/>
      </w:divBdr>
    </w:div>
    <w:div w:id="1673099755">
      <w:bodyDiv w:val="1"/>
      <w:marLeft w:val="0"/>
      <w:marRight w:val="0"/>
      <w:marTop w:val="0"/>
      <w:marBottom w:val="0"/>
      <w:divBdr>
        <w:top w:val="none" w:sz="0" w:space="0" w:color="auto"/>
        <w:left w:val="none" w:sz="0" w:space="0" w:color="auto"/>
        <w:bottom w:val="none" w:sz="0" w:space="0" w:color="auto"/>
        <w:right w:val="none" w:sz="0" w:space="0" w:color="auto"/>
      </w:divBdr>
    </w:div>
    <w:div w:id="1704020789">
      <w:bodyDiv w:val="1"/>
      <w:marLeft w:val="0"/>
      <w:marRight w:val="0"/>
      <w:marTop w:val="0"/>
      <w:marBottom w:val="0"/>
      <w:divBdr>
        <w:top w:val="none" w:sz="0" w:space="0" w:color="auto"/>
        <w:left w:val="none" w:sz="0" w:space="0" w:color="auto"/>
        <w:bottom w:val="none" w:sz="0" w:space="0" w:color="auto"/>
        <w:right w:val="none" w:sz="0" w:space="0" w:color="auto"/>
      </w:divBdr>
    </w:div>
    <w:div w:id="1739284248">
      <w:bodyDiv w:val="1"/>
      <w:marLeft w:val="0"/>
      <w:marRight w:val="0"/>
      <w:marTop w:val="0"/>
      <w:marBottom w:val="0"/>
      <w:divBdr>
        <w:top w:val="none" w:sz="0" w:space="0" w:color="auto"/>
        <w:left w:val="none" w:sz="0" w:space="0" w:color="auto"/>
        <w:bottom w:val="none" w:sz="0" w:space="0" w:color="auto"/>
        <w:right w:val="none" w:sz="0" w:space="0" w:color="auto"/>
      </w:divBdr>
    </w:div>
    <w:div w:id="1742554791">
      <w:bodyDiv w:val="1"/>
      <w:marLeft w:val="0"/>
      <w:marRight w:val="0"/>
      <w:marTop w:val="0"/>
      <w:marBottom w:val="0"/>
      <w:divBdr>
        <w:top w:val="none" w:sz="0" w:space="0" w:color="auto"/>
        <w:left w:val="none" w:sz="0" w:space="0" w:color="auto"/>
        <w:bottom w:val="none" w:sz="0" w:space="0" w:color="auto"/>
        <w:right w:val="none" w:sz="0" w:space="0" w:color="auto"/>
      </w:divBdr>
      <w:divsChild>
        <w:div w:id="1562210755">
          <w:marLeft w:val="0"/>
          <w:marRight w:val="0"/>
          <w:marTop w:val="0"/>
          <w:marBottom w:val="0"/>
          <w:divBdr>
            <w:top w:val="none" w:sz="0" w:space="0" w:color="auto"/>
            <w:left w:val="none" w:sz="0" w:space="0" w:color="auto"/>
            <w:bottom w:val="none" w:sz="0" w:space="0" w:color="auto"/>
            <w:right w:val="none" w:sz="0" w:space="0" w:color="auto"/>
          </w:divBdr>
          <w:divsChild>
            <w:div w:id="997851385">
              <w:marLeft w:val="0"/>
              <w:marRight w:val="0"/>
              <w:marTop w:val="0"/>
              <w:marBottom w:val="0"/>
              <w:divBdr>
                <w:top w:val="none" w:sz="0" w:space="0" w:color="auto"/>
                <w:left w:val="none" w:sz="0" w:space="0" w:color="auto"/>
                <w:bottom w:val="none" w:sz="0" w:space="0" w:color="auto"/>
                <w:right w:val="none" w:sz="0" w:space="0" w:color="auto"/>
              </w:divBdr>
              <w:divsChild>
                <w:div w:id="1764574111">
                  <w:marLeft w:val="0"/>
                  <w:marRight w:val="0"/>
                  <w:marTop w:val="0"/>
                  <w:marBottom w:val="0"/>
                  <w:divBdr>
                    <w:top w:val="none" w:sz="0" w:space="0" w:color="auto"/>
                    <w:left w:val="none" w:sz="0" w:space="0" w:color="auto"/>
                    <w:bottom w:val="none" w:sz="0" w:space="0" w:color="auto"/>
                    <w:right w:val="none" w:sz="0" w:space="0" w:color="auto"/>
                  </w:divBdr>
                  <w:divsChild>
                    <w:div w:id="1261141067">
                      <w:marLeft w:val="0"/>
                      <w:marRight w:val="0"/>
                      <w:marTop w:val="0"/>
                      <w:marBottom w:val="0"/>
                      <w:divBdr>
                        <w:top w:val="none" w:sz="0" w:space="0" w:color="auto"/>
                        <w:left w:val="single" w:sz="6" w:space="4" w:color="CDCDCD"/>
                        <w:bottom w:val="single" w:sz="6" w:space="4" w:color="CDCDCD"/>
                        <w:right w:val="single" w:sz="6" w:space="4" w:color="CDCDCD"/>
                      </w:divBdr>
                      <w:divsChild>
                        <w:div w:id="492987975">
                          <w:marLeft w:val="0"/>
                          <w:marRight w:val="0"/>
                          <w:marTop w:val="0"/>
                          <w:marBottom w:val="0"/>
                          <w:divBdr>
                            <w:top w:val="none" w:sz="0" w:space="0" w:color="auto"/>
                            <w:left w:val="none" w:sz="0" w:space="0" w:color="auto"/>
                            <w:bottom w:val="none" w:sz="0" w:space="0" w:color="auto"/>
                            <w:right w:val="none" w:sz="0" w:space="0" w:color="auto"/>
                          </w:divBdr>
                          <w:divsChild>
                            <w:div w:id="620840428">
                              <w:marLeft w:val="0"/>
                              <w:marRight w:val="0"/>
                              <w:marTop w:val="0"/>
                              <w:marBottom w:val="0"/>
                              <w:divBdr>
                                <w:top w:val="none" w:sz="0" w:space="0" w:color="auto"/>
                                <w:left w:val="none" w:sz="0" w:space="0" w:color="auto"/>
                                <w:bottom w:val="none" w:sz="0" w:space="0" w:color="auto"/>
                                <w:right w:val="none" w:sz="0" w:space="0" w:color="auto"/>
                              </w:divBdr>
                              <w:divsChild>
                                <w:div w:id="1947225104">
                                  <w:marLeft w:val="0"/>
                                  <w:marRight w:val="0"/>
                                  <w:marTop w:val="0"/>
                                  <w:marBottom w:val="0"/>
                                  <w:divBdr>
                                    <w:top w:val="none" w:sz="0" w:space="0" w:color="auto"/>
                                    <w:left w:val="single" w:sz="6" w:space="4" w:color="CDCDCD"/>
                                    <w:bottom w:val="none" w:sz="0" w:space="0" w:color="auto"/>
                                    <w:right w:val="single" w:sz="6" w:space="4" w:color="CDCDCD"/>
                                  </w:divBdr>
                                  <w:divsChild>
                                    <w:div w:id="719671725">
                                      <w:marLeft w:val="0"/>
                                      <w:marRight w:val="0"/>
                                      <w:marTop w:val="0"/>
                                      <w:marBottom w:val="0"/>
                                      <w:divBdr>
                                        <w:top w:val="none" w:sz="0" w:space="0" w:color="auto"/>
                                        <w:left w:val="none" w:sz="0" w:space="0" w:color="auto"/>
                                        <w:bottom w:val="none" w:sz="0" w:space="0" w:color="auto"/>
                                        <w:right w:val="none" w:sz="0" w:space="0" w:color="auto"/>
                                      </w:divBdr>
                                      <w:divsChild>
                                        <w:div w:id="1668633617">
                                          <w:marLeft w:val="0"/>
                                          <w:marRight w:val="0"/>
                                          <w:marTop w:val="0"/>
                                          <w:marBottom w:val="0"/>
                                          <w:divBdr>
                                            <w:top w:val="none" w:sz="0" w:space="0" w:color="auto"/>
                                            <w:left w:val="none" w:sz="0" w:space="0" w:color="auto"/>
                                            <w:bottom w:val="none" w:sz="0" w:space="0" w:color="auto"/>
                                            <w:right w:val="none" w:sz="0" w:space="0" w:color="auto"/>
                                          </w:divBdr>
                                          <w:divsChild>
                                            <w:div w:id="19681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6289020">
      <w:bodyDiv w:val="1"/>
      <w:marLeft w:val="0"/>
      <w:marRight w:val="0"/>
      <w:marTop w:val="0"/>
      <w:marBottom w:val="0"/>
      <w:divBdr>
        <w:top w:val="none" w:sz="0" w:space="0" w:color="auto"/>
        <w:left w:val="none" w:sz="0" w:space="0" w:color="auto"/>
        <w:bottom w:val="none" w:sz="0" w:space="0" w:color="auto"/>
        <w:right w:val="none" w:sz="0" w:space="0" w:color="auto"/>
      </w:divBdr>
    </w:div>
    <w:div w:id="1809780466">
      <w:bodyDiv w:val="1"/>
      <w:marLeft w:val="0"/>
      <w:marRight w:val="0"/>
      <w:marTop w:val="0"/>
      <w:marBottom w:val="0"/>
      <w:divBdr>
        <w:top w:val="none" w:sz="0" w:space="0" w:color="auto"/>
        <w:left w:val="none" w:sz="0" w:space="0" w:color="auto"/>
        <w:bottom w:val="none" w:sz="0" w:space="0" w:color="auto"/>
        <w:right w:val="none" w:sz="0" w:space="0" w:color="auto"/>
      </w:divBdr>
    </w:div>
    <w:div w:id="1889762089">
      <w:bodyDiv w:val="1"/>
      <w:marLeft w:val="0"/>
      <w:marRight w:val="0"/>
      <w:marTop w:val="0"/>
      <w:marBottom w:val="0"/>
      <w:divBdr>
        <w:top w:val="none" w:sz="0" w:space="0" w:color="auto"/>
        <w:left w:val="none" w:sz="0" w:space="0" w:color="auto"/>
        <w:bottom w:val="none" w:sz="0" w:space="0" w:color="auto"/>
        <w:right w:val="none" w:sz="0" w:space="0" w:color="auto"/>
      </w:divBdr>
    </w:div>
    <w:div w:id="1953124996">
      <w:bodyDiv w:val="1"/>
      <w:marLeft w:val="0"/>
      <w:marRight w:val="0"/>
      <w:marTop w:val="0"/>
      <w:marBottom w:val="0"/>
      <w:divBdr>
        <w:top w:val="none" w:sz="0" w:space="0" w:color="auto"/>
        <w:left w:val="none" w:sz="0" w:space="0" w:color="auto"/>
        <w:bottom w:val="none" w:sz="0" w:space="0" w:color="auto"/>
        <w:right w:val="none" w:sz="0" w:space="0" w:color="auto"/>
      </w:divBdr>
      <w:divsChild>
        <w:div w:id="1883252791">
          <w:marLeft w:val="0"/>
          <w:marRight w:val="0"/>
          <w:marTop w:val="0"/>
          <w:marBottom w:val="0"/>
          <w:divBdr>
            <w:top w:val="none" w:sz="0" w:space="0" w:color="auto"/>
            <w:left w:val="none" w:sz="0" w:space="0" w:color="auto"/>
            <w:bottom w:val="none" w:sz="0" w:space="0" w:color="auto"/>
            <w:right w:val="none" w:sz="0" w:space="0" w:color="auto"/>
          </w:divBdr>
          <w:divsChild>
            <w:div w:id="2074042277">
              <w:marLeft w:val="0"/>
              <w:marRight w:val="0"/>
              <w:marTop w:val="0"/>
              <w:marBottom w:val="0"/>
              <w:divBdr>
                <w:top w:val="none" w:sz="0" w:space="0" w:color="auto"/>
                <w:left w:val="none" w:sz="0" w:space="0" w:color="auto"/>
                <w:bottom w:val="none" w:sz="0" w:space="0" w:color="auto"/>
                <w:right w:val="none" w:sz="0" w:space="0" w:color="auto"/>
              </w:divBdr>
              <w:divsChild>
                <w:div w:id="1597210296">
                  <w:marLeft w:val="0"/>
                  <w:marRight w:val="0"/>
                  <w:marTop w:val="0"/>
                  <w:marBottom w:val="0"/>
                  <w:divBdr>
                    <w:top w:val="none" w:sz="0" w:space="0" w:color="auto"/>
                    <w:left w:val="none" w:sz="0" w:space="0" w:color="auto"/>
                    <w:bottom w:val="none" w:sz="0" w:space="0" w:color="auto"/>
                    <w:right w:val="none" w:sz="0" w:space="0" w:color="auto"/>
                  </w:divBdr>
                  <w:divsChild>
                    <w:div w:id="2128548811">
                      <w:marLeft w:val="0"/>
                      <w:marRight w:val="0"/>
                      <w:marTop w:val="0"/>
                      <w:marBottom w:val="0"/>
                      <w:divBdr>
                        <w:top w:val="none" w:sz="0" w:space="0" w:color="auto"/>
                        <w:left w:val="single" w:sz="6" w:space="4" w:color="CDCDCD"/>
                        <w:bottom w:val="single" w:sz="6" w:space="4" w:color="CDCDCD"/>
                        <w:right w:val="single" w:sz="6" w:space="4" w:color="CDCDCD"/>
                      </w:divBdr>
                      <w:divsChild>
                        <w:div w:id="854225020">
                          <w:marLeft w:val="0"/>
                          <w:marRight w:val="0"/>
                          <w:marTop w:val="0"/>
                          <w:marBottom w:val="0"/>
                          <w:divBdr>
                            <w:top w:val="none" w:sz="0" w:space="0" w:color="auto"/>
                            <w:left w:val="none" w:sz="0" w:space="0" w:color="auto"/>
                            <w:bottom w:val="none" w:sz="0" w:space="0" w:color="auto"/>
                            <w:right w:val="none" w:sz="0" w:space="0" w:color="auto"/>
                          </w:divBdr>
                          <w:divsChild>
                            <w:div w:id="416289634">
                              <w:marLeft w:val="0"/>
                              <w:marRight w:val="0"/>
                              <w:marTop w:val="0"/>
                              <w:marBottom w:val="0"/>
                              <w:divBdr>
                                <w:top w:val="none" w:sz="0" w:space="0" w:color="auto"/>
                                <w:left w:val="none" w:sz="0" w:space="0" w:color="auto"/>
                                <w:bottom w:val="none" w:sz="0" w:space="0" w:color="auto"/>
                                <w:right w:val="none" w:sz="0" w:space="0" w:color="auto"/>
                              </w:divBdr>
                              <w:divsChild>
                                <w:div w:id="1074815761">
                                  <w:marLeft w:val="0"/>
                                  <w:marRight w:val="0"/>
                                  <w:marTop w:val="0"/>
                                  <w:marBottom w:val="0"/>
                                  <w:divBdr>
                                    <w:top w:val="none" w:sz="0" w:space="0" w:color="auto"/>
                                    <w:left w:val="single" w:sz="6" w:space="4" w:color="CDCDCD"/>
                                    <w:bottom w:val="none" w:sz="0" w:space="0" w:color="auto"/>
                                    <w:right w:val="single" w:sz="6" w:space="4" w:color="CDCDCD"/>
                                  </w:divBdr>
                                  <w:divsChild>
                                    <w:div w:id="1494956538">
                                      <w:marLeft w:val="0"/>
                                      <w:marRight w:val="0"/>
                                      <w:marTop w:val="0"/>
                                      <w:marBottom w:val="0"/>
                                      <w:divBdr>
                                        <w:top w:val="none" w:sz="0" w:space="0" w:color="auto"/>
                                        <w:left w:val="none" w:sz="0" w:space="0" w:color="auto"/>
                                        <w:bottom w:val="none" w:sz="0" w:space="0" w:color="auto"/>
                                        <w:right w:val="none" w:sz="0" w:space="0" w:color="auto"/>
                                      </w:divBdr>
                                      <w:divsChild>
                                        <w:div w:id="1680303991">
                                          <w:marLeft w:val="0"/>
                                          <w:marRight w:val="0"/>
                                          <w:marTop w:val="0"/>
                                          <w:marBottom w:val="0"/>
                                          <w:divBdr>
                                            <w:top w:val="none" w:sz="0" w:space="0" w:color="auto"/>
                                            <w:left w:val="none" w:sz="0" w:space="0" w:color="auto"/>
                                            <w:bottom w:val="none" w:sz="0" w:space="0" w:color="auto"/>
                                            <w:right w:val="none" w:sz="0" w:space="0" w:color="auto"/>
                                          </w:divBdr>
                                          <w:divsChild>
                                            <w:div w:id="16796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505597">
      <w:bodyDiv w:val="1"/>
      <w:marLeft w:val="0"/>
      <w:marRight w:val="0"/>
      <w:marTop w:val="0"/>
      <w:marBottom w:val="0"/>
      <w:divBdr>
        <w:top w:val="none" w:sz="0" w:space="0" w:color="auto"/>
        <w:left w:val="none" w:sz="0" w:space="0" w:color="auto"/>
        <w:bottom w:val="none" w:sz="0" w:space="0" w:color="auto"/>
        <w:right w:val="none" w:sz="0" w:space="0" w:color="auto"/>
      </w:divBdr>
    </w:div>
    <w:div w:id="2126654692">
      <w:bodyDiv w:val="1"/>
      <w:marLeft w:val="0"/>
      <w:marRight w:val="0"/>
      <w:marTop w:val="0"/>
      <w:marBottom w:val="0"/>
      <w:divBdr>
        <w:top w:val="none" w:sz="0" w:space="0" w:color="auto"/>
        <w:left w:val="none" w:sz="0" w:space="0" w:color="auto"/>
        <w:bottom w:val="none" w:sz="0" w:space="0" w:color="auto"/>
        <w:right w:val="none" w:sz="0" w:space="0" w:color="auto"/>
      </w:divBdr>
    </w:div>
    <w:div w:id="214423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60BCDBC182DE49B87322C3D3787320" ma:contentTypeVersion="3" ma:contentTypeDescription="Ein neues Dokument erstellen." ma:contentTypeScope="" ma:versionID="2c5e4abd2a940434353a72a5be5b9843">
  <xsd:schema xmlns:xsd="http://www.w3.org/2001/XMLSchema" xmlns:xs="http://www.w3.org/2001/XMLSchema" xmlns:p="http://schemas.microsoft.com/office/2006/metadata/properties" targetNamespace="http://schemas.microsoft.com/office/2006/metadata/properties" ma:root="true" ma:fieldsID="d04ce251c5cecf7e8bdea4dc86577a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AC379-0326-4488-B2CF-27E5B9A63E77}">
  <ds:schemaRefs>
    <ds:schemaRef ds:uri="http://schemas.microsoft.com/office/2006/metadata/properties"/>
  </ds:schemaRefs>
</ds:datastoreItem>
</file>

<file path=customXml/itemProps2.xml><?xml version="1.0" encoding="utf-8"?>
<ds:datastoreItem xmlns:ds="http://schemas.openxmlformats.org/officeDocument/2006/customXml" ds:itemID="{A68BD25A-FC90-4471-B19E-BD41ECC3CE4D}">
  <ds:schemaRefs>
    <ds:schemaRef ds:uri="http://schemas.microsoft.com/sharepoint/v3/contenttype/forms"/>
  </ds:schemaRefs>
</ds:datastoreItem>
</file>

<file path=customXml/itemProps3.xml><?xml version="1.0" encoding="utf-8"?>
<ds:datastoreItem xmlns:ds="http://schemas.openxmlformats.org/officeDocument/2006/customXml" ds:itemID="{C517BAC4-C052-4052-9F56-783DB0BD0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AFA8D4-B9D4-4ED7-9D43-9A12783F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3115</Words>
  <Characters>18199</Characters>
  <Application>Microsoft Office Word</Application>
  <DocSecurity>4</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účelovém úvěru</vt:lpstr>
      <vt:lpstr>Smlouva o účelovém úvěru</vt:lpstr>
    </vt:vector>
  </TitlesOfParts>
  <Company>UGIS</Company>
  <LinksUpToDate>false</LinksUpToDate>
  <CharactersWithSpaces>21272</CharactersWithSpaces>
  <SharedDoc>false</SharedDoc>
  <HLinks>
    <vt:vector size="18" baseType="variant">
      <vt:variant>
        <vt:i4>3211317</vt:i4>
      </vt:variant>
      <vt:variant>
        <vt:i4>432</vt:i4>
      </vt:variant>
      <vt:variant>
        <vt:i4>0</vt:i4>
      </vt:variant>
      <vt:variant>
        <vt:i4>5</vt:i4>
      </vt:variant>
      <vt:variant>
        <vt:lpwstr>http://moss.intranet.unicreditgroup.eu/servo/default.aspx?servoparam0=UniCreditBankCZ+SUNIBCZ61</vt:lpwstr>
      </vt:variant>
      <vt:variant>
        <vt:lpwstr/>
      </vt:variant>
      <vt:variant>
        <vt:i4>22544437</vt:i4>
      </vt:variant>
      <vt:variant>
        <vt:i4>429</vt:i4>
      </vt:variant>
      <vt:variant>
        <vt:i4>0</vt:i4>
      </vt:variant>
      <vt:variant>
        <vt:i4>5</vt:i4>
      </vt:variant>
      <vt:variant>
        <vt:lpwstr>\\Clcz01fl.cz.iscb.com\AP\Template_NT\Corporate\Corporate UCB\03-Loans\02-Loan_contracts\soubor zajištění do úvěrových a jim podobných smluv\zajištění do úv. a podob.smluv_01_12.dot</vt:lpwstr>
      </vt:variant>
      <vt:variant>
        <vt:lpwstr/>
      </vt:variant>
      <vt:variant>
        <vt:i4>6946821</vt:i4>
      </vt:variant>
      <vt:variant>
        <vt:i4>57</vt:i4>
      </vt:variant>
      <vt:variant>
        <vt:i4>0</vt:i4>
      </vt:variant>
      <vt:variant>
        <vt:i4>5</vt:i4>
      </vt:variant>
      <vt:variant>
        <vt:lpwstr>http://wwwinfo.mfcr.cz/ares/ares_es.html.cz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účelovém úvěru</dc:title>
  <dc:creator>Matucha David (UniCredit CZ&amp;SK)</dc:creator>
  <cp:lastModifiedBy>Prenek Kamil (UniCredit CZ&amp;SK)</cp:lastModifiedBy>
  <cp:revision>2</cp:revision>
  <cp:lastPrinted>2020-01-21T10:26:00Z</cp:lastPrinted>
  <dcterms:created xsi:type="dcterms:W3CDTF">2021-11-25T13:14:00Z</dcterms:created>
  <dcterms:modified xsi:type="dcterms:W3CDTF">2021-11-25T13:14:00Z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0x0101001760BCDBC182DE49B87322C3D3787320</vt:lpwstr>
  </property>
  <property fmtid="{D5CDD505-2E9C-101B-9397-08002B2CF9AE}" pid="3" name="MSIP_Label_aa5004a6-b6f6-4fb5-b8f6-88b60e52b217_Enabled">
    <vt:lpwstr>true</vt:lpwstr>
  </property>
  <property fmtid="{D5CDD505-2E9C-101B-9397-08002B2CF9AE}" pid="4" name="MSIP_Label_aa5004a6-b6f6-4fb5-b8f6-88b60e52b217_SetDate">
    <vt:lpwstr>2021-06-16T12:02:10Z</vt:lpwstr>
  </property>
  <property fmtid="{D5CDD505-2E9C-101B-9397-08002B2CF9AE}" pid="5" name="MSIP_Label_aa5004a6-b6f6-4fb5-b8f6-88b60e52b217_Method">
    <vt:lpwstr>Privileged</vt:lpwstr>
  </property>
  <property fmtid="{D5CDD505-2E9C-101B-9397-08002B2CF9AE}" pid="6" name="MSIP_Label_aa5004a6-b6f6-4fb5-b8f6-88b60e52b217_Name">
    <vt:lpwstr>UniCredit - Confidential - no visual markings</vt:lpwstr>
  </property>
  <property fmtid="{D5CDD505-2E9C-101B-9397-08002B2CF9AE}" pid="7" name="MSIP_Label_aa5004a6-b6f6-4fb5-b8f6-88b60e52b217_SiteId">
    <vt:lpwstr>2cc49ce9-66a1-41ac-a96b-bdc54247696a</vt:lpwstr>
  </property>
  <property fmtid="{D5CDD505-2E9C-101B-9397-08002B2CF9AE}" pid="8" name="MSIP_Label_aa5004a6-b6f6-4fb5-b8f6-88b60e52b217_ActionId">
    <vt:lpwstr>2814921f-a311-43b7-b1f8-69ab19340a04</vt:lpwstr>
  </property>
  <property fmtid="{D5CDD505-2E9C-101B-9397-08002B2CF9AE}" pid="9" name="MSIP_Label_aa5004a6-b6f6-4fb5-b8f6-88b60e52b217_ContentBits">
    <vt:lpwstr>0</vt:lpwstr>
  </property>
</Properties>
</file>