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519D4B99" w14:textId="77777777" w:rsidR="003A1C7B" w:rsidRDefault="003A1C7B" w:rsidP="003A1C7B">
      <w:pPr>
        <w:rPr>
          <w:b/>
        </w:rPr>
      </w:pPr>
      <w:proofErr w:type="spellStart"/>
      <w:r w:rsidRPr="0054664A">
        <w:rPr>
          <w:b/>
        </w:rPr>
        <w:t>Amgen</w:t>
      </w:r>
      <w:proofErr w:type="spellEnd"/>
      <w:r w:rsidRPr="0054664A">
        <w:rPr>
          <w:b/>
        </w:rPr>
        <w:t xml:space="preserve"> s.r.o.</w:t>
      </w:r>
    </w:p>
    <w:p w14:paraId="1A6A1722" w14:textId="77777777" w:rsidR="003A1C7B" w:rsidRPr="00512AB9" w:rsidRDefault="003A1C7B" w:rsidP="003A1C7B">
      <w:r w:rsidRPr="00512AB9">
        <w:t xml:space="preserve">IČO: </w:t>
      </w:r>
      <w:r>
        <w:t>27117804</w:t>
      </w:r>
    </w:p>
    <w:p w14:paraId="73063210" w14:textId="77777777" w:rsidR="003A1C7B" w:rsidRPr="00512AB9" w:rsidRDefault="003A1C7B" w:rsidP="003A1C7B">
      <w:r w:rsidRPr="00512AB9">
        <w:t xml:space="preserve">DIČ: </w:t>
      </w:r>
      <w:r>
        <w:t>CZ27117804</w:t>
      </w:r>
    </w:p>
    <w:p w14:paraId="4FBB914A" w14:textId="77777777" w:rsidR="003A1C7B" w:rsidRPr="00512AB9" w:rsidRDefault="003A1C7B" w:rsidP="003A1C7B">
      <w:r>
        <w:t>se sídlem: Klimentská 1216/46, 110 02 Praha 1</w:t>
      </w:r>
    </w:p>
    <w:p w14:paraId="69C198ED" w14:textId="77777777" w:rsidR="003A1C7B" w:rsidRPr="00512AB9" w:rsidRDefault="003A1C7B" w:rsidP="003A1C7B">
      <w:r>
        <w:t>zastoupena</w:t>
      </w:r>
      <w:r w:rsidRPr="00512AB9">
        <w:t xml:space="preserve">: </w:t>
      </w:r>
      <w:r>
        <w:t xml:space="preserve">MVDr. Tomáš Březina, MBA, jednatel a Ing. Hynek </w:t>
      </w:r>
      <w:proofErr w:type="spellStart"/>
      <w:r>
        <w:t>Heisig</w:t>
      </w:r>
      <w:proofErr w:type="spellEnd"/>
      <w:r>
        <w:t>, jednatel</w:t>
      </w:r>
    </w:p>
    <w:p w14:paraId="43149C28" w14:textId="77777777" w:rsidR="003A1C7B" w:rsidRDefault="003A1C7B" w:rsidP="003A1C7B">
      <w:pPr>
        <w:pStyle w:val="Zkladntextodsazen"/>
        <w:spacing w:after="0" w:line="240" w:lineRule="auto"/>
        <w:ind w:left="0"/>
      </w:pPr>
      <w:r w:rsidRPr="00512AB9">
        <w:t xml:space="preserve">bankovní spojení: </w:t>
      </w:r>
      <w:proofErr w:type="spellStart"/>
      <w:r>
        <w:t>Citibank</w:t>
      </w:r>
      <w:proofErr w:type="spellEnd"/>
      <w:r>
        <w:t xml:space="preserve"> </w:t>
      </w:r>
      <w:proofErr w:type="spellStart"/>
      <w:r>
        <w:t>Europe</w:t>
      </w:r>
      <w:proofErr w:type="spellEnd"/>
      <w:r>
        <w:t xml:space="preserve"> </w:t>
      </w:r>
      <w:proofErr w:type="spellStart"/>
      <w:r>
        <w:t>plc</w:t>
      </w:r>
      <w:proofErr w:type="spellEnd"/>
      <w:r>
        <w:t>, organizační složka</w:t>
      </w:r>
    </w:p>
    <w:p w14:paraId="08B77F21" w14:textId="77777777" w:rsidR="003A1C7B" w:rsidRPr="00512AB9" w:rsidRDefault="003A1C7B" w:rsidP="003A1C7B">
      <w:pPr>
        <w:pStyle w:val="Zkladntextodsazen"/>
        <w:spacing w:after="0" w:line="240" w:lineRule="auto"/>
        <w:ind w:left="0"/>
      </w:pPr>
      <w:r w:rsidRPr="00512AB9">
        <w:t xml:space="preserve">číslo účtu: </w:t>
      </w:r>
      <w:r>
        <w:t>2042700303/2600</w:t>
      </w:r>
    </w:p>
    <w:p w14:paraId="0294CB3E" w14:textId="77777777" w:rsidR="003A1C7B" w:rsidRDefault="003A1C7B" w:rsidP="003A1C7B"/>
    <w:p w14:paraId="2145AA1F" w14:textId="77777777" w:rsidR="003A1C7B" w:rsidRPr="00512AB9" w:rsidRDefault="003A1C7B" w:rsidP="003A1C7B">
      <w:r>
        <w:t>Zapsána v obchodním rejstříku vedeném Městským soudem v Praze, oddíl C, vložka 97583</w:t>
      </w:r>
    </w:p>
    <w:p w14:paraId="089C1B45" w14:textId="77777777" w:rsidR="003A1C7B" w:rsidRPr="002B77A6" w:rsidRDefault="003A1C7B" w:rsidP="003A1C7B">
      <w:pPr>
        <w:rPr>
          <w:rStyle w:val="platne1"/>
        </w:rPr>
      </w:pPr>
    </w:p>
    <w:p w14:paraId="67CECC6D" w14:textId="77777777" w:rsidR="003A1C7B" w:rsidRPr="00726B26" w:rsidRDefault="003A1C7B" w:rsidP="003A1C7B">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Default="00726B26" w:rsidP="00726B26">
      <w:pPr>
        <w:spacing w:after="60"/>
        <w:rPr>
          <w:rStyle w:val="platne1"/>
        </w:rPr>
      </w:pPr>
    </w:p>
    <w:p w14:paraId="0E12A0FA" w14:textId="77777777" w:rsidR="00045CD1" w:rsidRPr="002B77A6" w:rsidRDefault="00045CD1"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76252DD"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proofErr w:type="spellStart"/>
      <w:r w:rsidR="00A27994">
        <w:rPr>
          <w:b/>
        </w:rPr>
        <w:t>Karfilzomib</w:t>
      </w:r>
      <w:proofErr w:type="spellEnd"/>
      <w:r w:rsidR="00290F5B" w:rsidRPr="003153B5">
        <w:rPr>
          <w:b/>
        </w:rPr>
        <w:t>“</w:t>
      </w:r>
      <w:r w:rsidR="00290F5B">
        <w:t xml:space="preserve"> </w:t>
      </w:r>
      <w:r>
        <w:t>(dále jen „</w:t>
      </w:r>
      <w:r w:rsidRPr="00AC626E">
        <w:rPr>
          <w:b/>
        </w:rPr>
        <w:t>Veřejná zakázka</w:t>
      </w:r>
      <w:r>
        <w:t>“), které budou na základě této smlouvy zasílány Prodávajícímu.</w:t>
      </w:r>
    </w:p>
    <w:p w14:paraId="1612BD64" w14:textId="77777777" w:rsidR="00045CD1" w:rsidRDefault="00045CD1"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w:t>
      </w:r>
      <w:r>
        <w:lastRenderedPageBreak/>
        <w:t>Kupujícího. Zboží bude dodáváno za podmínek sjednaných v této smlouvě na základě 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67F8555B"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w:t>
      </w:r>
      <w:r w:rsidR="00045CD1">
        <w:br/>
      </w:r>
      <w:r>
        <w:t xml:space="preserve">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10A79C9B" w:rsidR="00014CFB" w:rsidRDefault="00014CFB" w:rsidP="00014CFB">
      <w:pPr>
        <w:pStyle w:val="Psmenoodstavce"/>
      </w:pPr>
      <w:r>
        <w:t>e-mailem na adresu</w:t>
      </w:r>
      <w:r w:rsidR="003A1C7B">
        <w:t xml:space="preserve"> cs-cz@amgen.com</w:t>
      </w:r>
      <w:r>
        <w:t>;</w:t>
      </w:r>
    </w:p>
    <w:p w14:paraId="62F78F16" w14:textId="77777777" w:rsidR="00014CFB" w:rsidRDefault="00014CFB" w:rsidP="00014CFB">
      <w:pPr>
        <w:pStyle w:val="Odstavecsmlouvy"/>
        <w:numPr>
          <w:ilvl w:val="0"/>
          <w:numId w:val="0"/>
        </w:numPr>
        <w:ind w:left="567"/>
      </w:pPr>
    </w:p>
    <w:p w14:paraId="62F78F17" w14:textId="3A5E3B01" w:rsidR="00014CFB" w:rsidRDefault="00014CFB" w:rsidP="00014CFB">
      <w:pPr>
        <w:pStyle w:val="Odstavecsmlouvy"/>
      </w:pPr>
      <w:r>
        <w:t>V naléhavých případech je Kupující oprávněn učinit Objednávku rovněž telefonicky na čísle</w:t>
      </w:r>
      <w:r w:rsidR="003A1C7B">
        <w:t xml:space="preserve"> 800142254</w:t>
      </w:r>
      <w:r>
        <w:t xml:space="preserve">. </w:t>
      </w:r>
    </w:p>
    <w:p w14:paraId="62F78F18" w14:textId="77777777" w:rsidR="00014CFB" w:rsidRDefault="00014CFB" w:rsidP="00014CFB">
      <w:pPr>
        <w:pStyle w:val="Odstavecsmlouvy"/>
        <w:numPr>
          <w:ilvl w:val="0"/>
          <w:numId w:val="0"/>
        </w:numPr>
        <w:ind w:left="567"/>
      </w:pPr>
    </w:p>
    <w:p w14:paraId="62F78F19" w14:textId="524D0AB3"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D60AF7">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bookmarkStart w:id="4" w:name="_GoBack"/>
      <w:bookmarkEnd w:id="4"/>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48868D42"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w:t>
      </w:r>
      <w:r w:rsidR="00045CD1">
        <w:br/>
      </w:r>
      <w:r w:rsidR="001F7596">
        <w:t xml:space="preserve">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6CE5F5D7"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045CD1">
        <w:br/>
      </w:r>
      <w:r w:rsidR="00806564">
        <w:t>v pracovních dnech v době od 6:00 hodin do 15:00 hodin nebo v sobotu v době od 8:00 hodin do 12:00 hodin, ledaže se smluvní strany dohodnou jinak.</w:t>
      </w:r>
      <w:bookmarkEnd w:id="7"/>
    </w:p>
    <w:p w14:paraId="594B7AC1" w14:textId="77777777" w:rsidR="00BE64FF" w:rsidRDefault="00BE64FF" w:rsidP="00045CD1"/>
    <w:p w14:paraId="62F78F25" w14:textId="5C9BCE69" w:rsidR="00014CFB" w:rsidRDefault="00BE64FF" w:rsidP="00045CD1">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6" w14:textId="77777777" w:rsidR="00014CFB" w:rsidRDefault="00014CFB" w:rsidP="00014CFB">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604A6D68"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w:t>
      </w:r>
      <w:r w:rsidR="00045CD1">
        <w:br/>
      </w:r>
      <w:r w:rsidR="00941D28">
        <w:t xml:space="preserve">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9037288" w14:textId="7BB648F2" w:rsidR="00B468B6" w:rsidRPr="006E1A4C" w:rsidRDefault="00B468B6" w:rsidP="00045CD1">
      <w:pPr>
        <w:pStyle w:val="Odstavecsmlouvy"/>
      </w:pPr>
      <w:r w:rsidRPr="006E1A4C">
        <w:t xml:space="preserve">Prodávající je oprávněn zvýšit jednotkové ceny dle Přílohy č. 1 této smlouvy každoročně </w:t>
      </w:r>
      <w:r w:rsidR="00045CD1">
        <w:br/>
      </w:r>
      <w:r w:rsidRPr="006E1A4C">
        <w:t>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1DB5E062" w14:textId="3AE5F7C3" w:rsidR="00B468B6" w:rsidRDefault="00B468B6" w:rsidP="00B468B6">
      <w:pPr>
        <w:pStyle w:val="Odstavecsmlouvy"/>
      </w:pPr>
      <w:r w:rsidRPr="006E1A4C">
        <w:lastRenderedPageBreak/>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w:t>
      </w:r>
      <w:r w:rsidR="00045CD1">
        <w:br/>
      </w:r>
      <w:r w:rsidRPr="006E1A4C">
        <w:t>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1E092C29"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w:t>
      </w:r>
      <w:r w:rsidR="00045CD1">
        <w:br/>
      </w:r>
      <w:r>
        <w:t xml:space="preserve">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58C9EDBA" w:rsidR="00743A0B" w:rsidRDefault="00743A0B" w:rsidP="00743A0B">
      <w:pPr>
        <w:pStyle w:val="Odstavecsmlouvy"/>
      </w:pPr>
      <w:bookmarkStart w:id="10"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58BE77DD" w:rsidR="00B468B6" w:rsidRDefault="00B468B6" w:rsidP="00B468B6">
      <w:pPr>
        <w:pStyle w:val="Odstavecsmlouvy"/>
      </w:pPr>
      <w:r>
        <w:t xml:space="preserve">Pro vyloučení pochybností se uvádí, že příslušná jednotková kupní cena je dle </w:t>
      </w:r>
      <w:proofErr w:type="gramStart"/>
      <w:r>
        <w:t xml:space="preserve">odst. </w:t>
      </w:r>
      <w:r w:rsidR="004D17A9">
        <w:t xml:space="preserve">V. </w:t>
      </w:r>
      <w:r>
        <w:t>6  resp.</w:t>
      </w:r>
      <w:proofErr w:type="gramEnd"/>
      <w:r w:rsidR="004D17A9">
        <w:t xml:space="preserve"> </w:t>
      </w:r>
      <w:r w:rsidR="00045CD1">
        <w:br/>
      </w:r>
      <w:r w:rsidR="004D17A9">
        <w:t xml:space="preserve">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1B19599D" w14:textId="77777777" w:rsidR="00045CD1" w:rsidRDefault="00045C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4A1A4DEA" w14:textId="77777777" w:rsidR="003A1C7B" w:rsidRPr="00512AB9" w:rsidRDefault="000C1FD1" w:rsidP="003A1C7B">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3A1C7B">
        <w:t>a to</w:t>
      </w:r>
      <w:r w:rsidR="003A1C7B" w:rsidRPr="00512AB9">
        <w:t xml:space="preserve"> </w:t>
      </w:r>
      <w:r w:rsidR="003A1C7B">
        <w:t>k jednotlivým objednávkám.</w:t>
      </w:r>
      <w:r w:rsidR="003A1C7B" w:rsidRPr="00512AB9">
        <w:t xml:space="preserve"> </w:t>
      </w:r>
    </w:p>
    <w:p w14:paraId="62F78F54" w14:textId="5AE97AD6"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lastRenderedPageBreak/>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368F8C84"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045CD1">
        <w:br/>
      </w:r>
      <w:r w:rsidR="0079294C">
        <w:lastRenderedPageBreak/>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P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06C40E9B" w14:textId="77777777" w:rsidR="00045CD1" w:rsidRDefault="00045CD1" w:rsidP="00045CD1">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Default="00EE6269" w:rsidP="00726B26">
      <w:pPr>
        <w:jc w:val="center"/>
        <w:rPr>
          <w:b/>
          <w:bCs/>
        </w:rPr>
      </w:pPr>
    </w:p>
    <w:p w14:paraId="2A71171E" w14:textId="77777777" w:rsidR="00045CD1" w:rsidRPr="002B77A6" w:rsidRDefault="00045CD1"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762ED2"/>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A0" w14:textId="5B9FA1E5" w:rsidR="001D71E3" w:rsidRDefault="00726B26" w:rsidP="00045CD1">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w:t>
      </w:r>
      <w:r w:rsidRPr="001D71E3">
        <w:lastRenderedPageBreak/>
        <w:t>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F90A653" w14:textId="77777777" w:rsidR="00045CD1" w:rsidRDefault="00045CD1" w:rsidP="00045CD1">
      <w:pPr>
        <w:pStyle w:val="Odstavecsmlouvy"/>
        <w:numPr>
          <w:ilvl w:val="0"/>
          <w:numId w:val="0"/>
        </w:numPr>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3D29B41F"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3A1C7B">
              <w:rPr>
                <w:sz w:val="22"/>
                <w:szCs w:val="22"/>
              </w:rPr>
              <w:t xml:space="preserve"> Praze </w:t>
            </w:r>
            <w:r w:rsidRPr="00D722DC">
              <w:rPr>
                <w:sz w:val="22"/>
                <w:szCs w:val="22"/>
              </w:rPr>
              <w:t>dne</w:t>
            </w:r>
            <w:r w:rsidR="00901D40">
              <w:rPr>
                <w:sz w:val="22"/>
                <w:szCs w:val="22"/>
              </w:rPr>
              <w:t xml:space="preserve"> 23. 11. 2021</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D40E1F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901D40">
              <w:rPr>
                <w:sz w:val="22"/>
                <w:szCs w:val="22"/>
              </w:rPr>
              <w:t xml:space="preserve"> 25. 11. 2021</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76D6D900" w14:textId="63ADAEFE" w:rsidR="003A1C7B" w:rsidRPr="00D722DC" w:rsidRDefault="003A1C7B" w:rsidP="003A1C7B">
            <w:pPr>
              <w:pStyle w:val="slovn"/>
              <w:numPr>
                <w:ilvl w:val="0"/>
                <w:numId w:val="0"/>
              </w:numPr>
              <w:tabs>
                <w:tab w:val="num" w:pos="567"/>
              </w:tabs>
              <w:spacing w:after="0" w:line="280" w:lineRule="atLeast"/>
              <w:jc w:val="center"/>
              <w:rPr>
                <w:b/>
                <w:sz w:val="22"/>
                <w:szCs w:val="22"/>
              </w:rPr>
            </w:pPr>
            <w:proofErr w:type="spellStart"/>
            <w:r>
              <w:rPr>
                <w:b/>
                <w:sz w:val="22"/>
                <w:szCs w:val="22"/>
              </w:rPr>
              <w:t>Amgen</w:t>
            </w:r>
            <w:proofErr w:type="spellEnd"/>
            <w:r>
              <w:rPr>
                <w:b/>
                <w:sz w:val="22"/>
                <w:szCs w:val="22"/>
              </w:rPr>
              <w:t xml:space="preserve"> s.r.o.</w:t>
            </w:r>
          </w:p>
          <w:p w14:paraId="4421834E" w14:textId="77777777" w:rsidR="004A45B0" w:rsidRDefault="003A1C7B" w:rsidP="005B49AA">
            <w:pPr>
              <w:pStyle w:val="slovn"/>
              <w:numPr>
                <w:ilvl w:val="0"/>
                <w:numId w:val="0"/>
              </w:numPr>
              <w:tabs>
                <w:tab w:val="num" w:pos="567"/>
              </w:tabs>
              <w:spacing w:after="0" w:line="280" w:lineRule="atLeast"/>
              <w:jc w:val="center"/>
              <w:rPr>
                <w:sz w:val="22"/>
                <w:szCs w:val="22"/>
              </w:rPr>
            </w:pPr>
            <w:r>
              <w:rPr>
                <w:sz w:val="22"/>
                <w:szCs w:val="22"/>
              </w:rPr>
              <w:t>MVDr. Tomáš Březina,</w:t>
            </w:r>
          </w:p>
          <w:p w14:paraId="62F78FB8" w14:textId="4DBFE7A3" w:rsidR="003A1C7B" w:rsidRPr="00D722DC" w:rsidRDefault="003A1C7B" w:rsidP="005B49AA">
            <w:pPr>
              <w:pStyle w:val="slovn"/>
              <w:numPr>
                <w:ilvl w:val="0"/>
                <w:numId w:val="0"/>
              </w:numPr>
              <w:tabs>
                <w:tab w:val="num" w:pos="567"/>
              </w:tabs>
              <w:spacing w:after="0" w:line="280" w:lineRule="atLeast"/>
              <w:jc w:val="center"/>
              <w:rPr>
                <w:sz w:val="22"/>
                <w:szCs w:val="22"/>
              </w:rPr>
            </w:pPr>
            <w:r>
              <w:rPr>
                <w:sz w:val="22"/>
                <w:szCs w:val="22"/>
              </w:rPr>
              <w:t>jednatel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r w:rsidR="003A1C7B" w:rsidRPr="00D722DC" w14:paraId="41295AAA" w14:textId="77777777" w:rsidTr="00452742">
        <w:trPr>
          <w:gridAfter w:val="2"/>
          <w:wAfter w:w="5346" w:type="dxa"/>
        </w:trPr>
        <w:tc>
          <w:tcPr>
            <w:tcW w:w="4077" w:type="dxa"/>
            <w:tcBorders>
              <w:bottom w:val="single" w:sz="4" w:space="0" w:color="auto"/>
            </w:tcBorders>
            <w:shd w:val="clear" w:color="auto" w:fill="auto"/>
          </w:tcPr>
          <w:p w14:paraId="08C39641" w14:textId="77777777" w:rsidR="003A1C7B" w:rsidRPr="00D722DC" w:rsidRDefault="003A1C7B" w:rsidP="00452742">
            <w:pPr>
              <w:pStyle w:val="slovn"/>
              <w:numPr>
                <w:ilvl w:val="0"/>
                <w:numId w:val="0"/>
              </w:numPr>
              <w:tabs>
                <w:tab w:val="num" w:pos="567"/>
              </w:tabs>
              <w:spacing w:after="0" w:line="280" w:lineRule="atLeast"/>
              <w:rPr>
                <w:sz w:val="22"/>
                <w:szCs w:val="22"/>
              </w:rPr>
            </w:pPr>
          </w:p>
          <w:p w14:paraId="5267FDED" w14:textId="77777777" w:rsidR="003A1C7B" w:rsidRPr="00D722DC" w:rsidRDefault="003A1C7B" w:rsidP="00452742">
            <w:pPr>
              <w:pStyle w:val="slovn"/>
              <w:numPr>
                <w:ilvl w:val="0"/>
                <w:numId w:val="0"/>
              </w:numPr>
              <w:tabs>
                <w:tab w:val="num" w:pos="567"/>
              </w:tabs>
              <w:spacing w:after="0" w:line="280" w:lineRule="atLeast"/>
              <w:rPr>
                <w:sz w:val="22"/>
                <w:szCs w:val="22"/>
              </w:rPr>
            </w:pPr>
          </w:p>
          <w:p w14:paraId="7A853D6B" w14:textId="77777777" w:rsidR="003A1C7B" w:rsidRDefault="003A1C7B" w:rsidP="00452742">
            <w:pPr>
              <w:pStyle w:val="slovn"/>
              <w:numPr>
                <w:ilvl w:val="0"/>
                <w:numId w:val="0"/>
              </w:numPr>
              <w:tabs>
                <w:tab w:val="num" w:pos="567"/>
              </w:tabs>
              <w:spacing w:after="0" w:line="280" w:lineRule="atLeast"/>
              <w:rPr>
                <w:sz w:val="22"/>
                <w:szCs w:val="22"/>
              </w:rPr>
            </w:pPr>
          </w:p>
          <w:p w14:paraId="64922748" w14:textId="77777777" w:rsidR="003A1C7B" w:rsidRPr="00D722DC" w:rsidRDefault="003A1C7B" w:rsidP="00452742">
            <w:pPr>
              <w:pStyle w:val="slovn"/>
              <w:numPr>
                <w:ilvl w:val="0"/>
                <w:numId w:val="0"/>
              </w:numPr>
              <w:tabs>
                <w:tab w:val="num" w:pos="567"/>
              </w:tabs>
              <w:spacing w:after="0" w:line="280" w:lineRule="atLeast"/>
              <w:rPr>
                <w:sz w:val="22"/>
                <w:szCs w:val="22"/>
              </w:rPr>
            </w:pPr>
          </w:p>
          <w:p w14:paraId="55F9E745" w14:textId="77777777" w:rsidR="003A1C7B" w:rsidRPr="00D722DC" w:rsidRDefault="003A1C7B" w:rsidP="00452742">
            <w:pPr>
              <w:pStyle w:val="slovn"/>
              <w:numPr>
                <w:ilvl w:val="0"/>
                <w:numId w:val="0"/>
              </w:numPr>
              <w:tabs>
                <w:tab w:val="num" w:pos="567"/>
              </w:tabs>
              <w:spacing w:after="0" w:line="280" w:lineRule="atLeast"/>
              <w:rPr>
                <w:sz w:val="22"/>
                <w:szCs w:val="22"/>
              </w:rPr>
            </w:pPr>
          </w:p>
          <w:p w14:paraId="6F2A3468" w14:textId="77777777" w:rsidR="003A1C7B" w:rsidRPr="00D722DC" w:rsidRDefault="003A1C7B" w:rsidP="00452742">
            <w:pPr>
              <w:pStyle w:val="slovn"/>
              <w:numPr>
                <w:ilvl w:val="0"/>
                <w:numId w:val="0"/>
              </w:numPr>
              <w:tabs>
                <w:tab w:val="num" w:pos="567"/>
              </w:tabs>
              <w:spacing w:after="0" w:line="280" w:lineRule="atLeast"/>
              <w:rPr>
                <w:sz w:val="22"/>
                <w:szCs w:val="22"/>
              </w:rPr>
            </w:pPr>
          </w:p>
        </w:tc>
      </w:tr>
      <w:tr w:rsidR="003A1C7B" w:rsidRPr="00D722DC" w14:paraId="1171F179" w14:textId="77777777" w:rsidTr="00452742">
        <w:trPr>
          <w:gridAfter w:val="2"/>
          <w:wAfter w:w="5346" w:type="dxa"/>
        </w:trPr>
        <w:tc>
          <w:tcPr>
            <w:tcW w:w="4077" w:type="dxa"/>
            <w:tcBorders>
              <w:top w:val="single" w:sz="4" w:space="0" w:color="auto"/>
            </w:tcBorders>
            <w:shd w:val="clear" w:color="auto" w:fill="auto"/>
          </w:tcPr>
          <w:p w14:paraId="6A880059" w14:textId="77777777" w:rsidR="003A1C7B" w:rsidRPr="00D722DC" w:rsidRDefault="003A1C7B" w:rsidP="00452742">
            <w:pPr>
              <w:pStyle w:val="slovn"/>
              <w:numPr>
                <w:ilvl w:val="0"/>
                <w:numId w:val="0"/>
              </w:numPr>
              <w:tabs>
                <w:tab w:val="num" w:pos="567"/>
              </w:tabs>
              <w:spacing w:after="0" w:line="280" w:lineRule="atLeast"/>
              <w:jc w:val="center"/>
              <w:rPr>
                <w:b/>
                <w:sz w:val="22"/>
                <w:szCs w:val="22"/>
              </w:rPr>
            </w:pPr>
            <w:proofErr w:type="spellStart"/>
            <w:r>
              <w:rPr>
                <w:b/>
                <w:sz w:val="22"/>
                <w:szCs w:val="22"/>
              </w:rPr>
              <w:t>Amgen</w:t>
            </w:r>
            <w:proofErr w:type="spellEnd"/>
            <w:r>
              <w:rPr>
                <w:b/>
                <w:sz w:val="22"/>
                <w:szCs w:val="22"/>
              </w:rPr>
              <w:t xml:space="preserve"> s.r.o.</w:t>
            </w:r>
          </w:p>
          <w:p w14:paraId="7E82594E" w14:textId="271CE4D2" w:rsidR="003A1C7B" w:rsidRDefault="003A1C7B" w:rsidP="00452742">
            <w:pPr>
              <w:pStyle w:val="slovn"/>
              <w:numPr>
                <w:ilvl w:val="0"/>
                <w:numId w:val="0"/>
              </w:numPr>
              <w:tabs>
                <w:tab w:val="num" w:pos="567"/>
              </w:tabs>
              <w:spacing w:after="0" w:line="280" w:lineRule="atLeast"/>
              <w:jc w:val="center"/>
              <w:rPr>
                <w:sz w:val="22"/>
                <w:szCs w:val="22"/>
              </w:rPr>
            </w:pPr>
            <w:r>
              <w:rPr>
                <w:sz w:val="22"/>
                <w:szCs w:val="22"/>
              </w:rPr>
              <w:t xml:space="preserve">Ing. Hynek </w:t>
            </w:r>
            <w:proofErr w:type="spellStart"/>
            <w:r>
              <w:rPr>
                <w:sz w:val="22"/>
                <w:szCs w:val="22"/>
              </w:rPr>
              <w:t>Heisig</w:t>
            </w:r>
            <w:proofErr w:type="spellEnd"/>
            <w:r>
              <w:rPr>
                <w:sz w:val="22"/>
                <w:szCs w:val="22"/>
              </w:rPr>
              <w:t>,</w:t>
            </w:r>
          </w:p>
          <w:p w14:paraId="69A8F2A7" w14:textId="77777777" w:rsidR="003A1C7B" w:rsidRPr="00D722DC" w:rsidRDefault="003A1C7B" w:rsidP="00452742">
            <w:pPr>
              <w:pStyle w:val="slovn"/>
              <w:numPr>
                <w:ilvl w:val="0"/>
                <w:numId w:val="0"/>
              </w:numPr>
              <w:tabs>
                <w:tab w:val="num" w:pos="567"/>
              </w:tabs>
              <w:spacing w:after="0" w:line="280" w:lineRule="atLeast"/>
              <w:jc w:val="center"/>
              <w:rPr>
                <w:sz w:val="22"/>
                <w:szCs w:val="22"/>
              </w:rPr>
            </w:pPr>
            <w:r>
              <w:rPr>
                <w:sz w:val="22"/>
                <w:szCs w:val="22"/>
              </w:rPr>
              <w:t>jednatel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1" w14:textId="5576D3FD"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2CCC5BE1" w:rsidR="00AA34DF" w:rsidRDefault="003A1C7B" w:rsidP="00023008">
      <w:r>
        <w:rPr>
          <w:noProof/>
        </w:rPr>
        <w:drawing>
          <wp:inline distT="0" distB="0" distL="0" distR="0" wp14:anchorId="36ED94BD" wp14:editId="2609C482">
            <wp:extent cx="8300453" cy="2451233"/>
            <wp:effectExtent l="0" t="920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443963" cy="2493613"/>
                    </a:xfrm>
                    <a:prstGeom prst="rect">
                      <a:avLst/>
                    </a:prstGeom>
                  </pic:spPr>
                </pic:pic>
              </a:graphicData>
            </a:graphic>
          </wp:inline>
        </w:drawing>
      </w:r>
    </w:p>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ABD32" w14:textId="77777777" w:rsidR="00392E9F" w:rsidRDefault="00392E9F" w:rsidP="006337DC">
      <w:r>
        <w:separator/>
      </w:r>
    </w:p>
  </w:endnote>
  <w:endnote w:type="continuationSeparator" w:id="0">
    <w:p w14:paraId="612AEA30" w14:textId="77777777" w:rsidR="00392E9F" w:rsidRDefault="00392E9F"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4B4C3F7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60AF7">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798A0DB" w:rsidR="001B5F9C" w:rsidRDefault="001B5F9C">
    <w:pPr>
      <w:pStyle w:val="Zpat"/>
      <w:jc w:val="center"/>
    </w:pPr>
    <w:r>
      <w:fldChar w:fldCharType="begin"/>
    </w:r>
    <w:r>
      <w:instrText>PAGE   \* MERGEFORMAT</w:instrText>
    </w:r>
    <w:r>
      <w:fldChar w:fldCharType="separate"/>
    </w:r>
    <w:r w:rsidR="00901D40">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BD96" w14:textId="77777777" w:rsidR="00392E9F" w:rsidRDefault="00392E9F" w:rsidP="006337DC">
      <w:r>
        <w:separator/>
      </w:r>
    </w:p>
  </w:footnote>
  <w:footnote w:type="continuationSeparator" w:id="0">
    <w:p w14:paraId="7D150795" w14:textId="77777777" w:rsidR="00392E9F" w:rsidRDefault="00392E9F"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5CD1"/>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35B9"/>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92E9F"/>
    <w:rsid w:val="003A1C2B"/>
    <w:rsid w:val="003A1C7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3D2F"/>
    <w:rsid w:val="00735D7D"/>
    <w:rsid w:val="007408D2"/>
    <w:rsid w:val="007427EC"/>
    <w:rsid w:val="00743A0B"/>
    <w:rsid w:val="00744F95"/>
    <w:rsid w:val="0075495D"/>
    <w:rsid w:val="00754D50"/>
    <w:rsid w:val="00762ED2"/>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1D40"/>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27994"/>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353"/>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5CBD"/>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B6BFA"/>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0C3B"/>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AF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499E"/>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styleId="Zkladntextodsazen">
    <w:name w:val="Body Text Indent"/>
    <w:basedOn w:val="Normln"/>
    <w:link w:val="ZkladntextodsazenChar"/>
    <w:uiPriority w:val="99"/>
    <w:semiHidden/>
    <w:unhideWhenUsed/>
    <w:rsid w:val="003A1C7B"/>
    <w:pPr>
      <w:spacing w:after="120"/>
      <w:ind w:left="283"/>
    </w:pPr>
  </w:style>
  <w:style w:type="character" w:customStyle="1" w:styleId="ZkladntextodsazenChar">
    <w:name w:val="Základní text odsazený Char"/>
    <w:basedOn w:val="Standardnpsmoodstavce"/>
    <w:link w:val="Zkladntextodsazen"/>
    <w:uiPriority w:val="99"/>
    <w:semiHidden/>
    <w:rsid w:val="003A1C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a8a044a-cfb7-4e91-9265-bc6ac71adbb3" value=""/>
  <element uid="7349a702-6462-4442-88eb-c64cd513835c" value=""/>
  <element uid="ba0343df-3220-4244-9388-1298e2abc028" value=""/>
</sisl>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E811-E051-43EE-842B-4165917FBF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6.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B18D86-C653-40A0-9653-F2424119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3879</Words>
  <Characters>22109</Characters>
  <Application>Microsoft Office Word</Application>
  <DocSecurity>0</DocSecurity>
  <Lines>184</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keywords>*$%CON-*$%Finance</cp:keywords>
  <cp:lastModifiedBy>Stravová Michaela</cp:lastModifiedBy>
  <cp:revision>9</cp:revision>
  <cp:lastPrinted>2021-11-12T19:19:00Z</cp:lastPrinted>
  <dcterms:created xsi:type="dcterms:W3CDTF">2021-11-12T19:12:00Z</dcterms:created>
  <dcterms:modified xsi:type="dcterms:W3CDTF">2021-11-25T12:06:00Z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y fmtid="{D5CDD505-2E9C-101B-9397-08002B2CF9AE}" pid="6" name="docIndexRef">
    <vt:lpwstr>eb63ebcd-f1d0-430b-aff9-fd6c88afab1d</vt:lpwstr>
  </property>
  <property fmtid="{D5CDD505-2E9C-101B-9397-08002B2CF9AE}" pid="7" name="bjSaver">
    <vt:lpwstr>rX1YB2sxXcNypAApeT8CJNR1wBraEB0O</vt:lpwstr>
  </property>
  <property fmtid="{D5CDD505-2E9C-101B-9397-08002B2CF9AE}" pid="8"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9" name="bjDocumentLabelXML-0">
    <vt:lpwstr>ames.com/2008/01/sie/internal/label"&gt;&lt;element uid="7a8a044a-cfb7-4e91-9265-bc6ac71adbb3" value="" /&gt;&lt;element uid="7349a702-6462-4442-88eb-c64cd513835c" value="" /&gt;&lt;element uid="ba0343df-3220-4244-9388-1298e2abc028" value="" /&gt;&lt;/sisl&gt;</vt:lpwstr>
  </property>
  <property fmtid="{D5CDD505-2E9C-101B-9397-08002B2CF9AE}" pid="10" name="bjDocumentSecurityLabel">
    <vt:lpwstr>Confidential - Financial</vt:lpwstr>
  </property>
</Properties>
</file>