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943" w:rsidRPr="009439D1" w:rsidRDefault="00293A2F" w:rsidP="00626ED9">
      <w:pPr>
        <w:spacing w:before="120"/>
        <w:jc w:val="center"/>
        <w:rPr>
          <w:b/>
        </w:rPr>
      </w:pPr>
      <w:r w:rsidRPr="009439D1">
        <w:rPr>
          <w:b/>
        </w:rPr>
        <w:t>D</w:t>
      </w:r>
      <w:r w:rsidR="004C5632" w:rsidRPr="009439D1">
        <w:rPr>
          <w:b/>
        </w:rPr>
        <w:t xml:space="preserve">odatek č. </w:t>
      </w:r>
      <w:r w:rsidR="00003C5E">
        <w:rPr>
          <w:b/>
        </w:rPr>
        <w:t>69</w:t>
      </w:r>
    </w:p>
    <w:p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:rsidR="00CB77E7" w:rsidRDefault="00CB77E7" w:rsidP="00BE1340">
      <w:pPr>
        <w:jc w:val="both"/>
      </w:pPr>
    </w:p>
    <w:p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3"/>
        <w:gridCol w:w="5211"/>
      </w:tblGrid>
      <w:tr w:rsidR="00C03F55" w:rsidTr="00D86935">
        <w:tc>
          <w:tcPr>
            <w:tcW w:w="3893" w:type="dxa"/>
          </w:tcPr>
          <w:p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C03F55" w:rsidRPr="00BE1340" w:rsidRDefault="00C03F55" w:rsidP="00C03F55">
            <w:pPr>
              <w:ind w:left="357"/>
              <w:jc w:val="both"/>
            </w:pPr>
            <w:bookmarkStart w:id="0" w:name="_GoBack"/>
            <w:bookmarkEnd w:id="0"/>
          </w:p>
        </w:tc>
      </w:tr>
      <w:tr w:rsidR="005E08F0" w:rsidTr="00D86935">
        <w:tc>
          <w:tcPr>
            <w:tcW w:w="3893" w:type="dxa"/>
          </w:tcPr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:rsidR="000F2F8D" w:rsidRDefault="000F2F8D" w:rsidP="00CB77E7">
            <w:pPr>
              <w:ind w:left="-28"/>
              <w:jc w:val="both"/>
            </w:pPr>
          </w:p>
          <w:p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:rsidTr="00D86935">
        <w:tc>
          <w:tcPr>
            <w:tcW w:w="3893" w:type="dxa"/>
          </w:tcPr>
          <w:p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 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:rsidR="000F2F8D" w:rsidRDefault="000F2F8D" w:rsidP="00CB77E7">
            <w:pPr>
              <w:ind w:left="-28"/>
              <w:jc w:val="both"/>
            </w:pPr>
          </w:p>
          <w:p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:rsidTr="00D86935">
        <w:tc>
          <w:tcPr>
            <w:tcW w:w="3893" w:type="dxa"/>
          </w:tcPr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:rsidTr="00D86935">
        <w:tc>
          <w:tcPr>
            <w:tcW w:w="3893" w:type="dxa"/>
          </w:tcPr>
          <w:p w:rsidR="00156A37" w:rsidRDefault="00156A37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:rsidR="000F2F8D" w:rsidRDefault="000F2F8D" w:rsidP="00C03F55">
            <w:pPr>
              <w:ind w:left="-28"/>
              <w:jc w:val="both"/>
            </w:pPr>
          </w:p>
          <w:p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:rsidTr="00D86935">
        <w:tc>
          <w:tcPr>
            <w:tcW w:w="9104" w:type="dxa"/>
            <w:gridSpan w:val="2"/>
          </w:tcPr>
          <w:p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:rsidTr="00D86935">
        <w:tc>
          <w:tcPr>
            <w:tcW w:w="3893" w:type="dxa"/>
          </w:tcPr>
          <w:p w:rsidR="00156A37" w:rsidRDefault="00156A37" w:rsidP="00BE1340">
            <w:pPr>
              <w:jc w:val="both"/>
              <w:rPr>
                <w:b/>
              </w:rPr>
            </w:pPr>
          </w:p>
          <w:p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:rsidTr="00D86935">
        <w:tc>
          <w:tcPr>
            <w:tcW w:w="3893" w:type="dxa"/>
          </w:tcPr>
          <w:p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:rsidTr="00D86935">
        <w:tc>
          <w:tcPr>
            <w:tcW w:w="3893" w:type="dxa"/>
          </w:tcPr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:rsidR="000F2F8D" w:rsidRDefault="000F2F8D" w:rsidP="00CB77E7">
            <w:pPr>
              <w:jc w:val="both"/>
            </w:pPr>
          </w:p>
          <w:p w:rsidR="004C2631" w:rsidRPr="00293A2F" w:rsidRDefault="00D20C76" w:rsidP="00D86935">
            <w:pPr>
              <w:jc w:val="both"/>
            </w:pPr>
            <w:r>
              <w:t>Mgr.</w:t>
            </w:r>
            <w:r w:rsidR="00126232">
              <w:t xml:space="preserve"> </w:t>
            </w:r>
            <w:r>
              <w:t>Pavel Sázavský,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:rsidTr="00D86935">
        <w:tc>
          <w:tcPr>
            <w:tcW w:w="3893" w:type="dxa"/>
          </w:tcPr>
          <w:p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4C2631" w:rsidRPr="00B10C51" w:rsidRDefault="00B10C51" w:rsidP="00F40769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D20C76">
              <w:t>18</w:t>
            </w:r>
            <w:r w:rsidR="00A13339">
              <w:t>.0</w:t>
            </w:r>
            <w:r w:rsidR="00D20C76">
              <w:t>8</w:t>
            </w:r>
            <w:r w:rsidR="00D86935">
              <w:t>.20</w:t>
            </w:r>
            <w:r w:rsidR="00D20C76">
              <w:t>20</w:t>
            </w:r>
            <w:r>
              <w:t xml:space="preserve"> </w:t>
            </w:r>
            <w:r w:rsidR="00075F7D">
              <w:t xml:space="preserve">XXXXXX </w:t>
            </w:r>
            <w:proofErr w:type="spellStart"/>
            <w:r w:rsidR="00075F7D">
              <w:t>XXXXXX</w:t>
            </w:r>
            <w:proofErr w:type="spellEnd"/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:rsidR="000F2F8D" w:rsidRDefault="000F2F8D" w:rsidP="00CB77E7">
            <w:pPr>
              <w:jc w:val="both"/>
            </w:pPr>
          </w:p>
          <w:p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:rsidTr="00D86935">
        <w:tc>
          <w:tcPr>
            <w:tcW w:w="3893" w:type="dxa"/>
          </w:tcPr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:rsidR="000F2F8D" w:rsidRDefault="000F2F8D" w:rsidP="00BE1340">
            <w:pPr>
              <w:jc w:val="both"/>
            </w:pPr>
          </w:p>
          <w:p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:rsidTr="00D86935">
        <w:tc>
          <w:tcPr>
            <w:tcW w:w="9104" w:type="dxa"/>
            <w:gridSpan w:val="2"/>
          </w:tcPr>
          <w:p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:rsidTr="00D86935">
        <w:tc>
          <w:tcPr>
            <w:tcW w:w="9104" w:type="dxa"/>
            <w:gridSpan w:val="2"/>
          </w:tcPr>
          <w:p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:rsidR="00BE1340" w:rsidRDefault="00BE1340" w:rsidP="00BE1340">
      <w:pPr>
        <w:ind w:left="360"/>
        <w:jc w:val="both"/>
        <w:rPr>
          <w:b/>
        </w:rPr>
      </w:pPr>
    </w:p>
    <w:p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:rsidR="004D13B2" w:rsidRDefault="004D13B2" w:rsidP="00F17101">
      <w:pPr>
        <w:ind w:left="426"/>
        <w:jc w:val="both"/>
        <w:rPr>
          <w:b/>
        </w:rPr>
      </w:pPr>
    </w:p>
    <w:p w:rsidR="001D6CBD" w:rsidRDefault="001D6CBD" w:rsidP="00F17101">
      <w:pPr>
        <w:ind w:left="426"/>
        <w:jc w:val="both"/>
        <w:rPr>
          <w:b/>
        </w:rPr>
      </w:pPr>
    </w:p>
    <w:p w:rsidR="008D6B8E" w:rsidRDefault="008D6B8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1" w:name="_Toc256938528"/>
      <w:bookmarkStart w:id="2" w:name="_Toc411841775"/>
    </w:p>
    <w:p w:rsidR="008D6B8E" w:rsidRDefault="008D6B8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</w:p>
    <w:p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</w:p>
    <w:p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1"/>
      <w:bookmarkEnd w:id="2"/>
    </w:p>
    <w:p w:rsidR="00942912" w:rsidRPr="00942912" w:rsidRDefault="00942912" w:rsidP="00942912"/>
    <w:p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:rsidR="00B17598" w:rsidRDefault="00B17598" w:rsidP="00BE1340">
      <w:pPr>
        <w:ind w:left="360"/>
        <w:jc w:val="both"/>
      </w:pPr>
    </w:p>
    <w:p w:rsidR="00665204" w:rsidRPr="00BE1340" w:rsidRDefault="00665204" w:rsidP="00BE1340">
      <w:pPr>
        <w:ind w:left="360"/>
        <w:jc w:val="both"/>
      </w:pPr>
    </w:p>
    <w:p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:rsidR="00942912" w:rsidRPr="0041665E" w:rsidRDefault="00942912" w:rsidP="0041665E">
      <w:pPr>
        <w:ind w:left="360"/>
        <w:jc w:val="center"/>
        <w:rPr>
          <w:b/>
        </w:rPr>
      </w:pPr>
    </w:p>
    <w:p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:rsidR="00665204" w:rsidRDefault="00665204" w:rsidP="00665204">
      <w:pPr>
        <w:pStyle w:val="Odstavecseseznamem"/>
      </w:pPr>
    </w:p>
    <w:p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:rsidR="004135A3" w:rsidRPr="002247F6" w:rsidRDefault="004135A3" w:rsidP="004135A3">
      <w:pPr>
        <w:pStyle w:val="Odstavecseseznamem"/>
        <w:spacing w:after="240"/>
        <w:jc w:val="both"/>
      </w:pPr>
    </w:p>
    <w:p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:rsidR="00994516" w:rsidRPr="00BE1340" w:rsidRDefault="00994516" w:rsidP="00BE1340">
      <w:pPr>
        <w:ind w:left="360"/>
        <w:jc w:val="both"/>
      </w:pPr>
    </w:p>
    <w:p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:rsidR="00932D8D" w:rsidRPr="00BE1340" w:rsidRDefault="00932D8D" w:rsidP="00BE1340">
      <w:pPr>
        <w:ind w:left="360"/>
        <w:jc w:val="both"/>
      </w:pPr>
    </w:p>
    <w:p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3" w:name="_Toc256938574"/>
      <w:bookmarkStart w:id="4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:rsidR="00005531" w:rsidRPr="00C409F7" w:rsidRDefault="00005531" w:rsidP="00E264BD">
      <w:pPr>
        <w:jc w:val="both"/>
      </w:pPr>
    </w:p>
    <w:p w:rsidR="00665204" w:rsidRDefault="00665204" w:rsidP="00E264BD">
      <w:pPr>
        <w:ind w:firstLine="709"/>
        <w:rPr>
          <w:b/>
        </w:rPr>
      </w:pPr>
    </w:p>
    <w:p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3"/>
      <w:bookmarkEnd w:id="4"/>
    </w:p>
    <w:p w:rsidR="00942912" w:rsidRPr="00942912" w:rsidRDefault="00942912" w:rsidP="00942912"/>
    <w:p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:rsidR="006C5244" w:rsidRPr="00BE1340" w:rsidRDefault="006C5244" w:rsidP="00BE1340">
      <w:pPr>
        <w:ind w:left="360"/>
        <w:jc w:val="both"/>
        <w:rPr>
          <w:b/>
        </w:rPr>
      </w:pPr>
    </w:p>
    <w:p w:rsidR="00476068" w:rsidRDefault="00476068">
      <w:pPr>
        <w:rPr>
          <w:b/>
        </w:rPr>
      </w:pPr>
      <w:r>
        <w:rPr>
          <w:b/>
        </w:rPr>
        <w:br w:type="page"/>
      </w:r>
    </w:p>
    <w:p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:rsidR="00942912" w:rsidRDefault="00942912" w:rsidP="0021110A">
      <w:pPr>
        <w:ind w:left="360"/>
        <w:jc w:val="center"/>
        <w:rPr>
          <w:b/>
        </w:rPr>
      </w:pPr>
    </w:p>
    <w:p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:rsidR="0021110A" w:rsidRDefault="0021110A" w:rsidP="00BE1340">
      <w:pPr>
        <w:ind w:left="360"/>
        <w:jc w:val="both"/>
        <w:rPr>
          <w:b/>
        </w:rPr>
      </w:pPr>
    </w:p>
    <w:p w:rsidR="00293A2F" w:rsidRPr="00035A70" w:rsidRDefault="00293A2F" w:rsidP="00BE1340">
      <w:pPr>
        <w:ind w:left="360"/>
        <w:jc w:val="both"/>
        <w:rPr>
          <w:b/>
        </w:rPr>
      </w:pPr>
    </w:p>
    <w:p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:rsidR="00942912" w:rsidRDefault="00942912" w:rsidP="00035A70">
      <w:pPr>
        <w:ind w:left="360"/>
        <w:jc w:val="center"/>
        <w:rPr>
          <w:b/>
        </w:rPr>
      </w:pPr>
    </w:p>
    <w:p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:rsidR="00340A20" w:rsidRDefault="00340A20" w:rsidP="00BE1340">
      <w:pPr>
        <w:ind w:left="360"/>
        <w:jc w:val="both"/>
      </w:pPr>
    </w:p>
    <w:p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5" w:name="_Toc256938578"/>
      <w:bookmarkStart w:id="6" w:name="_Toc411841823"/>
    </w:p>
    <w:p w:rsidR="00462DF5" w:rsidRDefault="00462DF5" w:rsidP="00462DF5">
      <w:pPr>
        <w:pStyle w:val="Odstavecseseznamem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:rsidR="00462DF5" w:rsidRDefault="00462DF5" w:rsidP="00462DF5">
      <w:pPr>
        <w:pStyle w:val="Odstavecseseznamem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:rsidR="00462DF5" w:rsidRDefault="00462DF5" w:rsidP="00462DF5">
      <w:pPr>
        <w:pStyle w:val="Odstavecseseznamem"/>
        <w:jc w:val="both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:rsidR="00462DF5" w:rsidRDefault="00462DF5" w:rsidP="00462DF5">
      <w:pPr>
        <w:pStyle w:val="Odstavecseseznamem"/>
        <w:jc w:val="both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:rsidR="00462DF5" w:rsidRDefault="00462DF5" w:rsidP="00D869E9">
      <w:pPr>
        <w:pStyle w:val="Odstavecseseznamem"/>
      </w:pPr>
    </w:p>
    <w:bookmarkEnd w:id="5"/>
    <w:bookmarkEnd w:id="6"/>
    <w:p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:rsidR="001D6CBD" w:rsidRDefault="001D6CBD" w:rsidP="001D6CBD">
      <w:pPr>
        <w:pStyle w:val="Odstavecseseznamem"/>
      </w:pPr>
    </w:p>
    <w:p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</w:t>
      </w:r>
      <w:proofErr w:type="gramStart"/>
      <w:r w:rsidRPr="00BE1340">
        <w:rPr>
          <w:color w:val="000000"/>
        </w:rPr>
        <w:t>Brně  dne</w:t>
      </w:r>
      <w:proofErr w:type="gramEnd"/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9"/>
        <w:gridCol w:w="4595"/>
      </w:tblGrid>
      <w:tr w:rsidR="00372E54" w:rsidRPr="00BE1340" w:rsidTr="00462DF5">
        <w:tc>
          <w:tcPr>
            <w:tcW w:w="4599" w:type="dxa"/>
          </w:tcPr>
          <w:p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</w:p>
        </w:tc>
        <w:tc>
          <w:tcPr>
            <w:tcW w:w="4595" w:type="dxa"/>
          </w:tcPr>
          <w:p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A1D2D" w:rsidRPr="00BE1340" w:rsidRDefault="00075F7D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:rsidTr="00462DF5">
        <w:tc>
          <w:tcPr>
            <w:tcW w:w="4599" w:type="dxa"/>
          </w:tcPr>
          <w:p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12F" w:rsidRDefault="006B612F">
      <w:r>
        <w:separator/>
      </w:r>
    </w:p>
  </w:endnote>
  <w:endnote w:type="continuationSeparator" w:id="0">
    <w:p w:rsidR="006B612F" w:rsidRDefault="006B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003C5E">
      <w:rPr>
        <w:rStyle w:val="slostrnky"/>
        <w:noProof/>
      </w:rPr>
      <w:t>3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003C5E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12F" w:rsidRDefault="006B612F">
      <w:r>
        <w:separator/>
      </w:r>
    </w:p>
  </w:footnote>
  <w:footnote w:type="continuationSeparator" w:id="0">
    <w:p w:rsidR="006B612F" w:rsidRDefault="006B6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AC571A" w:rsidRPr="00AC571A">
      <w:t xml:space="preserve"> </w:t>
    </w:r>
    <w:r w:rsidR="00930924">
      <w:t>5615171010.</w:t>
    </w:r>
    <w:r w:rsidR="00003C5E">
      <w:t>69</w:t>
    </w:r>
    <w:r w:rsidR="00442F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3FEC773C87214824941FBC94B76F9060"/>
      </w:placeholder>
      <w:temporary/>
      <w:showingPlcHdr/>
    </w:sdtPr>
    <w:sdtEndPr/>
    <w:sdtContent>
      <w:p w:rsidR="001F27B6" w:rsidRDefault="001F27B6">
        <w:pPr>
          <w:pStyle w:val="Zhlav"/>
        </w:pPr>
        <w:r>
          <w:t>[Sem zadejte text.]</w:t>
        </w:r>
      </w:p>
    </w:sdtContent>
  </w:sdt>
  <w:p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0"/>
  </w:num>
  <w:num w:numId="5">
    <w:abstractNumId w:val="16"/>
  </w:num>
  <w:num w:numId="6">
    <w:abstractNumId w:val="3"/>
  </w:num>
  <w:num w:numId="7">
    <w:abstractNumId w:val="14"/>
  </w:num>
  <w:num w:numId="8">
    <w:abstractNumId w:val="7"/>
  </w:num>
  <w:num w:numId="9">
    <w:abstractNumId w:val="15"/>
  </w:num>
  <w:num w:numId="10">
    <w:abstractNumId w:val="13"/>
  </w:num>
  <w:num w:numId="11">
    <w:abstractNumId w:val="5"/>
  </w:num>
  <w:num w:numId="12">
    <w:abstractNumId w:val="6"/>
  </w:num>
  <w:num w:numId="13">
    <w:abstractNumId w:val="9"/>
  </w:num>
  <w:num w:numId="14">
    <w:abstractNumId w:val="12"/>
  </w:num>
  <w:num w:numId="15">
    <w:abstractNumId w:val="8"/>
  </w:num>
  <w:num w:numId="16">
    <w:abstractNumId w:val="4"/>
  </w:num>
  <w:num w:numId="1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E48"/>
    <w:rsid w:val="00000D2D"/>
    <w:rsid w:val="00001C98"/>
    <w:rsid w:val="00002AC4"/>
    <w:rsid w:val="0000369E"/>
    <w:rsid w:val="00003C5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75F7D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C72"/>
    <w:rsid w:val="00150F13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21E0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12F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924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1E8C"/>
    <w:rsid w:val="00942912"/>
    <w:rsid w:val="00943208"/>
    <w:rsid w:val="009439D1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571A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835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1A59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94C"/>
    <w:rsid w:val="00F15F4C"/>
    <w:rsid w:val="00F16DAA"/>
    <w:rsid w:val="00F17101"/>
    <w:rsid w:val="00F172B5"/>
    <w:rsid w:val="00F21E19"/>
    <w:rsid w:val="00F226BF"/>
    <w:rsid w:val="00F22CDF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775"/>
    <w:rsid w:val="00F913A6"/>
    <w:rsid w:val="00F91579"/>
    <w:rsid w:val="00F91636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5C8521"/>
  <w15:docId w15:val="{68C7F094-7F01-4460-9383-BB78AC97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91B5F"/>
    <w:rsid w:val="00020EDE"/>
    <w:rsid w:val="000570EB"/>
    <w:rsid w:val="000573FD"/>
    <w:rsid w:val="00072602"/>
    <w:rsid w:val="0008085B"/>
    <w:rsid w:val="00082F15"/>
    <w:rsid w:val="0009304E"/>
    <w:rsid w:val="000C7372"/>
    <w:rsid w:val="000F49F8"/>
    <w:rsid w:val="00151300"/>
    <w:rsid w:val="001A3E04"/>
    <w:rsid w:val="001C4BAA"/>
    <w:rsid w:val="00253654"/>
    <w:rsid w:val="0028042F"/>
    <w:rsid w:val="002815F3"/>
    <w:rsid w:val="002839C2"/>
    <w:rsid w:val="002859F8"/>
    <w:rsid w:val="00291B5F"/>
    <w:rsid w:val="00323315"/>
    <w:rsid w:val="00333044"/>
    <w:rsid w:val="003909D6"/>
    <w:rsid w:val="003D5EA5"/>
    <w:rsid w:val="003E5011"/>
    <w:rsid w:val="0046221F"/>
    <w:rsid w:val="00486044"/>
    <w:rsid w:val="004C3110"/>
    <w:rsid w:val="004E5660"/>
    <w:rsid w:val="00512EB3"/>
    <w:rsid w:val="005441D3"/>
    <w:rsid w:val="00565724"/>
    <w:rsid w:val="00595F80"/>
    <w:rsid w:val="005E02FE"/>
    <w:rsid w:val="006C7206"/>
    <w:rsid w:val="007A3910"/>
    <w:rsid w:val="007C065A"/>
    <w:rsid w:val="008315FB"/>
    <w:rsid w:val="00844BC5"/>
    <w:rsid w:val="008469E1"/>
    <w:rsid w:val="00885E13"/>
    <w:rsid w:val="008D3989"/>
    <w:rsid w:val="009543CD"/>
    <w:rsid w:val="00972E2D"/>
    <w:rsid w:val="00993B63"/>
    <w:rsid w:val="00A17707"/>
    <w:rsid w:val="00A52074"/>
    <w:rsid w:val="00AF020C"/>
    <w:rsid w:val="00B041CC"/>
    <w:rsid w:val="00B07FF2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300DA"/>
    <w:rsid w:val="00DA0EE4"/>
    <w:rsid w:val="00DB29C2"/>
    <w:rsid w:val="00DB6664"/>
    <w:rsid w:val="00DE701F"/>
    <w:rsid w:val="00E05EAE"/>
    <w:rsid w:val="00E1220E"/>
    <w:rsid w:val="00E42D1D"/>
    <w:rsid w:val="00ED53A8"/>
    <w:rsid w:val="00F2086A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4C90F3CF2F7485FA7ECB73A63089A7C">
    <w:name w:val="24C90F3CF2F7485FA7ECB73A63089A7C"/>
    <w:rsid w:val="00291B5F"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ED2A5-7D55-45D2-BE50-D6E3FAA9A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VRV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Klos</dc:creator>
  <cp:lastModifiedBy>Vyhlídal Martin (MMB)</cp:lastModifiedBy>
  <cp:revision>5</cp:revision>
  <cp:lastPrinted>2016-10-17T12:29:00Z</cp:lastPrinted>
  <dcterms:created xsi:type="dcterms:W3CDTF">2021-10-21T05:05:00Z</dcterms:created>
  <dcterms:modified xsi:type="dcterms:W3CDTF">2021-11-25T12:32:00Z</dcterms:modified>
</cp:coreProperties>
</file>