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FB4" w:rsidRDefault="006415ED">
      <w:pPr>
        <w:pStyle w:val="Zkladntext30"/>
        <w:framePr w:w="1565" w:h="701" w:wrap="none" w:hAnchor="page" w:x="1463" w:y="841"/>
        <w:shd w:val="clear" w:color="auto" w:fill="auto"/>
      </w:pPr>
      <w:r>
        <w:t>AGENTURAOCHRANY PŘÍRODY A KRAJINY ČESKÉ REPUBLIKY</w:t>
      </w:r>
    </w:p>
    <w:p w:rsidR="00AF3FB4" w:rsidRDefault="006415ED">
      <w:pPr>
        <w:pStyle w:val="Zkladntext20"/>
        <w:framePr w:w="1339" w:h="230" w:wrap="none" w:hAnchor="page" w:x="9235" w:y="1"/>
        <w:shd w:val="clear" w:color="auto" w:fill="auto"/>
        <w:spacing w:line="240" w:lineRule="auto"/>
        <w:jc w:val="left"/>
      </w:pPr>
      <w:r>
        <w:t>KAPLANOVA 1931/1</w:t>
      </w:r>
    </w:p>
    <w:p w:rsidR="00AF3FB4" w:rsidRDefault="006415ED">
      <w:pPr>
        <w:pStyle w:val="Zkladntext20"/>
        <w:framePr w:w="2875" w:h="446" w:wrap="none" w:hAnchor="page" w:x="7713" w:y="236"/>
        <w:shd w:val="clear" w:color="auto" w:fill="auto"/>
        <w:spacing w:line="240" w:lineRule="auto"/>
      </w:pPr>
      <w:r>
        <w:t>148 00 PRAHA 11 - CHODOV</w:t>
      </w:r>
    </w:p>
    <w:p w:rsidR="00AF3FB4" w:rsidRDefault="006415ED">
      <w:pPr>
        <w:pStyle w:val="Zkladntext20"/>
        <w:framePr w:w="2875" w:h="446" w:wrap="none" w:hAnchor="page" w:x="7713" w:y="236"/>
        <w:shd w:val="clear" w:color="auto" w:fill="auto"/>
        <w:tabs>
          <w:tab w:val="left" w:pos="1709"/>
        </w:tabs>
        <w:spacing w:line="180" w:lineRule="auto"/>
      </w:pPr>
      <w:r>
        <w:rPr>
          <w:b/>
          <w:bCs/>
          <w:color w:val="14A7D5"/>
          <w:sz w:val="28"/>
          <w:szCs w:val="28"/>
        </w:rPr>
        <w:t>JEDNA</w:t>
      </w:r>
      <w:r>
        <w:rPr>
          <w:b/>
          <w:bCs/>
          <w:color w:val="14A7D5"/>
          <w:sz w:val="28"/>
          <w:szCs w:val="28"/>
        </w:rPr>
        <w:tab/>
      </w:r>
      <w:r>
        <w:t>TEL: 283 069 242</w:t>
      </w:r>
    </w:p>
    <w:p w:rsidR="00AF3FB4" w:rsidRDefault="006415ED">
      <w:pPr>
        <w:pStyle w:val="Titulekobrzku0"/>
        <w:framePr w:w="1162" w:h="235" w:wrap="none" w:hAnchor="page" w:x="9422" w:y="687"/>
        <w:shd w:val="clear" w:color="auto" w:fill="auto"/>
      </w:pPr>
      <w:r>
        <w:t>FAX: 283 069 241</w:t>
      </w:r>
    </w:p>
    <w:p w:rsidR="00AF3FB4" w:rsidRDefault="006415ED">
      <w:pPr>
        <w:pStyle w:val="Zkladntext20"/>
        <w:framePr w:w="1224" w:h="422" w:wrap="none" w:hAnchor="page" w:x="9350" w:y="927"/>
        <w:pBdr>
          <w:bottom w:val="single" w:sz="4" w:space="0" w:color="auto"/>
        </w:pBdr>
        <w:shd w:val="clear" w:color="auto" w:fill="auto"/>
        <w:spacing w:line="233" w:lineRule="auto"/>
      </w:pPr>
      <w:r>
        <w:t xml:space="preserve">ID DS: DKKDKDJ </w:t>
      </w:r>
      <w:hyperlink r:id="rId7" w:history="1">
        <w:r>
          <w:rPr>
            <w:lang w:val="en-US" w:eastAsia="en-US" w:bidi="en-US"/>
          </w:rPr>
          <w:t>aopkcr@nature.cz</w:t>
        </w:r>
      </w:hyperlink>
    </w:p>
    <w:p w:rsidR="00AF3FB4" w:rsidRDefault="006415ED">
      <w:pPr>
        <w:pStyle w:val="Zkladntext1"/>
        <w:framePr w:w="2827" w:h="278" w:wrap="none" w:hAnchor="page" w:x="6671" w:y="1935"/>
        <w:shd w:val="clear" w:color="auto" w:fill="auto"/>
        <w:spacing w:after="0" w:line="240" w:lineRule="auto"/>
      </w:pPr>
      <w:r>
        <w:t>Číslo smlouvy: 17436/SVSL/21</w:t>
      </w:r>
    </w:p>
    <w:p w:rsidR="00AF3FB4" w:rsidRDefault="006415ED">
      <w:pPr>
        <w:pStyle w:val="Nadpis10"/>
        <w:keepNext/>
        <w:keepLines/>
        <w:framePr w:w="9120" w:h="854" w:wrap="none" w:hAnchor="page" w:x="1391" w:y="2483"/>
        <w:shd w:val="clear" w:color="auto" w:fill="auto"/>
      </w:pPr>
      <w:bookmarkStart w:id="0" w:name="bookmark0"/>
      <w:bookmarkStart w:id="1" w:name="bookmark1"/>
      <w:r>
        <w:t xml:space="preserve">SMLOUVA O DODÁVCE </w:t>
      </w:r>
      <w:r>
        <w:t>SOFTWARE</w:t>
      </w:r>
      <w:bookmarkEnd w:id="0"/>
      <w:bookmarkEnd w:id="1"/>
    </w:p>
    <w:p w:rsidR="00AF3FB4" w:rsidRDefault="006415ED">
      <w:pPr>
        <w:pStyle w:val="Zkladntext1"/>
        <w:framePr w:w="9120" w:h="854" w:wrap="none" w:hAnchor="page" w:x="1391" w:y="2483"/>
        <w:shd w:val="clear" w:color="auto" w:fill="auto"/>
        <w:spacing w:after="0" w:line="240" w:lineRule="auto"/>
        <w:jc w:val="center"/>
      </w:pPr>
      <w:r>
        <w:rPr>
          <w:b/>
          <w:bCs/>
        </w:rPr>
        <w:t>UZAVŘENÁ DLE USTANOVENÍ § 1746 ODST. 2 ZÁK. Č. 89/2012 SB., OBČANSKÉHO ZÁKONÍKU</w:t>
      </w:r>
    </w:p>
    <w:p w:rsidR="00AF3FB4" w:rsidRDefault="006415ED">
      <w:pPr>
        <w:pStyle w:val="Zkladntext1"/>
        <w:framePr w:w="2064" w:h="274" w:wrap="none" w:hAnchor="page" w:x="4910" w:y="3798"/>
        <w:shd w:val="clear" w:color="auto" w:fill="auto"/>
        <w:spacing w:after="0" w:line="240" w:lineRule="auto"/>
      </w:pPr>
      <w:r>
        <w:rPr>
          <w:b/>
          <w:bCs/>
        </w:rPr>
        <w:t>1. Smluvní strany</w:t>
      </w:r>
    </w:p>
    <w:p w:rsidR="00AF3FB4" w:rsidRDefault="006415ED">
      <w:pPr>
        <w:pStyle w:val="Zkladntext1"/>
        <w:framePr w:w="1896" w:h="653" w:wrap="none" w:hAnchor="page" w:x="1382" w:y="4417"/>
        <w:shd w:val="clear" w:color="auto" w:fill="auto"/>
        <w:spacing w:after="140" w:line="240" w:lineRule="auto"/>
        <w:ind w:firstLine="360"/>
      </w:pPr>
      <w:r>
        <w:t xml:space="preserve">1.1. </w:t>
      </w:r>
      <w:r>
        <w:rPr>
          <w:b/>
          <w:bCs/>
        </w:rPr>
        <w:t>Objednatel</w:t>
      </w:r>
    </w:p>
    <w:p w:rsidR="00AF3FB4" w:rsidRDefault="006415ED">
      <w:pPr>
        <w:pStyle w:val="Nadpis30"/>
        <w:keepNext/>
        <w:keepLines/>
        <w:framePr w:w="1896" w:h="653" w:wrap="none" w:hAnchor="page" w:x="1382" w:y="4417"/>
        <w:shd w:val="clear" w:color="auto" w:fill="auto"/>
        <w:spacing w:after="0"/>
        <w:jc w:val="left"/>
      </w:pPr>
      <w:bookmarkStart w:id="2" w:name="bookmark2"/>
      <w:bookmarkStart w:id="3" w:name="bookmark3"/>
      <w:r>
        <w:t>Česká republika -</w:t>
      </w:r>
      <w:bookmarkEnd w:id="2"/>
      <w:bookmarkEnd w:id="3"/>
    </w:p>
    <w:p w:rsidR="00AF3FB4" w:rsidRDefault="006415ED">
      <w:pPr>
        <w:pStyle w:val="Nadpis30"/>
        <w:keepNext/>
        <w:keepLines/>
        <w:framePr w:w="4982" w:h="283" w:wrap="none" w:hAnchor="page" w:x="3508" w:y="4787"/>
        <w:shd w:val="clear" w:color="auto" w:fill="auto"/>
        <w:spacing w:after="0"/>
        <w:jc w:val="left"/>
      </w:pPr>
      <w:bookmarkStart w:id="4" w:name="bookmark4"/>
      <w:bookmarkStart w:id="5" w:name="bookmark5"/>
      <w:r>
        <w:t>Agentura ochrany přírody a krajiny České republiky</w:t>
      </w:r>
      <w:bookmarkEnd w:id="4"/>
      <w:bookmarkEnd w:id="5"/>
    </w:p>
    <w:p w:rsidR="00AF3FB4" w:rsidRDefault="006415ED">
      <w:pPr>
        <w:pStyle w:val="Zkladntext1"/>
        <w:framePr w:w="926" w:h="768" w:wrap="none" w:hAnchor="page" w:x="1382" w:y="5180"/>
        <w:shd w:val="clear" w:color="auto" w:fill="auto"/>
        <w:spacing w:after="0" w:line="240" w:lineRule="auto"/>
      </w:pPr>
      <w:r>
        <w:t>Sídlo:</w:t>
      </w:r>
    </w:p>
    <w:p w:rsidR="00AF3FB4" w:rsidRDefault="006415ED">
      <w:pPr>
        <w:pStyle w:val="Zkladntext1"/>
        <w:framePr w:w="926" w:h="768" w:wrap="none" w:hAnchor="page" w:x="1382" w:y="5180"/>
        <w:shd w:val="clear" w:color="auto" w:fill="auto"/>
        <w:spacing w:after="0" w:line="240" w:lineRule="auto"/>
      </w:pPr>
      <w:r>
        <w:t>Jednající:</w:t>
      </w:r>
    </w:p>
    <w:p w:rsidR="00AF3FB4" w:rsidRDefault="006415ED">
      <w:pPr>
        <w:pStyle w:val="Zkladntext1"/>
        <w:framePr w:w="926" w:h="768" w:wrap="none" w:hAnchor="page" w:x="1382" w:y="5180"/>
        <w:shd w:val="clear" w:color="auto" w:fill="auto"/>
        <w:spacing w:after="0" w:line="240" w:lineRule="auto"/>
      </w:pPr>
      <w:r>
        <w:t>IČO:</w:t>
      </w:r>
    </w:p>
    <w:p w:rsidR="00AF3FB4" w:rsidRDefault="006415ED">
      <w:pPr>
        <w:pStyle w:val="Zkladntext1"/>
        <w:framePr w:w="4138" w:h="274" w:wrap="none" w:hAnchor="page" w:x="3508" w:y="5180"/>
        <w:shd w:val="clear" w:color="auto" w:fill="auto"/>
        <w:spacing w:after="0" w:line="240" w:lineRule="auto"/>
      </w:pPr>
      <w:r>
        <w:t xml:space="preserve">Kaplanova 1931/1, 148 00 Praha 11 - </w:t>
      </w:r>
      <w:r>
        <w:t>Chodov</w:t>
      </w:r>
    </w:p>
    <w:p w:rsidR="00AF3FB4" w:rsidRDefault="006415ED">
      <w:pPr>
        <w:pStyle w:val="Zkladntext1"/>
        <w:framePr w:w="1070" w:h="250" w:wrap="none" w:hAnchor="page" w:x="3508" w:y="5699"/>
        <w:shd w:val="clear" w:color="auto" w:fill="auto"/>
        <w:spacing w:after="0" w:line="240" w:lineRule="auto"/>
      </w:pPr>
      <w:r>
        <w:t>629 335 91</w:t>
      </w:r>
    </w:p>
    <w:p w:rsidR="00AF3FB4" w:rsidRDefault="006415ED">
      <w:pPr>
        <w:pStyle w:val="Zkladntext1"/>
        <w:framePr w:w="5712" w:h="1066" w:wrap="none" w:hAnchor="page" w:x="1382" w:y="5953"/>
        <w:shd w:val="clear" w:color="auto" w:fill="auto"/>
        <w:spacing w:after="0" w:line="240" w:lineRule="auto"/>
      </w:pPr>
      <w:r>
        <w:t>Bankovní spojení: ČNB Praha, Číslo účtu: 18228011/0710</w:t>
      </w:r>
    </w:p>
    <w:p w:rsidR="00AF3FB4" w:rsidRDefault="006415ED">
      <w:pPr>
        <w:pStyle w:val="Zkladntext1"/>
        <w:framePr w:w="5712" w:h="1066" w:wrap="none" w:hAnchor="page" w:x="1382" w:y="5953"/>
        <w:shd w:val="clear" w:color="auto" w:fill="auto"/>
        <w:spacing w:after="280" w:line="240" w:lineRule="auto"/>
      </w:pPr>
      <w:r>
        <w:t>Kontaktní osoba pro věci technické:</w:t>
      </w:r>
    </w:p>
    <w:p w:rsidR="00AF3FB4" w:rsidRDefault="006415ED">
      <w:pPr>
        <w:pStyle w:val="Zkladntext1"/>
        <w:framePr w:w="5712" w:h="1066" w:wrap="none" w:hAnchor="page" w:x="1382" w:y="5953"/>
        <w:shd w:val="clear" w:color="auto" w:fill="auto"/>
        <w:spacing w:after="160" w:line="240" w:lineRule="auto"/>
      </w:pPr>
      <w:r>
        <w:t xml:space="preserve">(dále jen </w:t>
      </w:r>
      <w:r>
        <w:rPr>
          <w:u w:val="single"/>
        </w:rPr>
        <w:t>„objednatel</w:t>
      </w:r>
      <w:r>
        <w:t>“)</w:t>
      </w:r>
    </w:p>
    <w:p w:rsidR="00AF3FB4" w:rsidRDefault="006415ED">
      <w:pPr>
        <w:pStyle w:val="Zkladntext1"/>
        <w:framePr w:w="8976" w:h="3518" w:wrap="none" w:hAnchor="page" w:x="1377" w:y="7743"/>
        <w:shd w:val="clear" w:color="auto" w:fill="auto"/>
        <w:spacing w:after="360"/>
        <w:ind w:firstLine="380"/>
      </w:pPr>
      <w:r>
        <w:t xml:space="preserve">1.2. </w:t>
      </w:r>
      <w:r>
        <w:rPr>
          <w:b/>
          <w:bCs/>
        </w:rPr>
        <w:t>Dodavatel</w:t>
      </w:r>
    </w:p>
    <w:p w:rsidR="00AF3FB4" w:rsidRDefault="006415ED">
      <w:pPr>
        <w:pStyle w:val="Zkladntext1"/>
        <w:framePr w:w="8976" w:h="3518" w:wrap="none" w:hAnchor="page" w:x="1377" w:y="7743"/>
        <w:shd w:val="clear" w:color="auto" w:fill="auto"/>
        <w:spacing w:after="0"/>
      </w:pPr>
      <w:proofErr w:type="spellStart"/>
      <w:r>
        <w:t>Netfox</w:t>
      </w:r>
      <w:proofErr w:type="spellEnd"/>
      <w:r>
        <w:t xml:space="preserve"> s.r.o.</w:t>
      </w:r>
    </w:p>
    <w:p w:rsidR="00AF3FB4" w:rsidRDefault="006415ED">
      <w:pPr>
        <w:pStyle w:val="Zkladntext1"/>
        <w:framePr w:w="8976" w:h="3518" w:wrap="none" w:hAnchor="page" w:x="1377" w:y="7743"/>
        <w:shd w:val="clear" w:color="auto" w:fill="auto"/>
        <w:spacing w:after="0"/>
      </w:pPr>
      <w:r>
        <w:t>Sídlo: Koněvova 65/2755, 130 00 Praha 3</w:t>
      </w:r>
    </w:p>
    <w:p w:rsidR="00AF3FB4" w:rsidRDefault="006415ED">
      <w:pPr>
        <w:pStyle w:val="Zkladntext1"/>
        <w:framePr w:w="8976" w:h="3518" w:wrap="none" w:hAnchor="page" w:x="1377" w:y="7743"/>
        <w:shd w:val="clear" w:color="auto" w:fill="auto"/>
        <w:spacing w:after="0"/>
      </w:pPr>
      <w:r>
        <w:t>IČO: 27574032</w:t>
      </w:r>
    </w:p>
    <w:p w:rsidR="00AF3FB4" w:rsidRDefault="006415ED">
      <w:pPr>
        <w:pStyle w:val="Zkladntext1"/>
        <w:framePr w:w="8976" w:h="3518" w:wrap="none" w:hAnchor="page" w:x="1377" w:y="7743"/>
        <w:shd w:val="clear" w:color="auto" w:fill="auto"/>
        <w:spacing w:after="0"/>
      </w:pPr>
      <w:r>
        <w:t>DIČ: CZ27574032</w:t>
      </w:r>
    </w:p>
    <w:p w:rsidR="00AF3FB4" w:rsidRDefault="006415ED">
      <w:pPr>
        <w:pStyle w:val="Zkladntext1"/>
        <w:framePr w:w="8976" w:h="3518" w:wrap="none" w:hAnchor="page" w:x="1377" w:y="7743"/>
        <w:shd w:val="clear" w:color="auto" w:fill="auto"/>
        <w:spacing w:after="0"/>
      </w:pPr>
      <w:r>
        <w:t xml:space="preserve">Bankovní spojení: </w:t>
      </w:r>
      <w:proofErr w:type="spellStart"/>
      <w:r>
        <w:t>Raiffeisenbank</w:t>
      </w:r>
      <w:proofErr w:type="spellEnd"/>
      <w:r>
        <w:t xml:space="preserve"> a.s., Číslo účtu: 2405638001/5500</w:t>
      </w:r>
    </w:p>
    <w:p w:rsidR="00AF3FB4" w:rsidRDefault="006415ED" w:rsidP="005121B7">
      <w:pPr>
        <w:pStyle w:val="Zkladntext1"/>
        <w:framePr w:w="8976" w:h="3518" w:wrap="none" w:hAnchor="page" w:x="1377" w:y="7743"/>
        <w:shd w:val="clear" w:color="auto" w:fill="auto"/>
        <w:spacing w:after="0"/>
      </w:pPr>
      <w:r>
        <w:t xml:space="preserve">zapsaná v obchodním rejstříku vedeném Městským soudem v Praze, </w:t>
      </w:r>
      <w:proofErr w:type="spellStart"/>
      <w:r>
        <w:t>sp</w:t>
      </w:r>
      <w:proofErr w:type="spellEnd"/>
      <w:r>
        <w:t xml:space="preserve">. zn. oddíl C, vložka 116806. </w:t>
      </w:r>
    </w:p>
    <w:p w:rsidR="00AF3FB4" w:rsidRDefault="006415ED">
      <w:pPr>
        <w:pStyle w:val="Zkladntext1"/>
        <w:framePr w:w="8976" w:h="3518" w:wrap="none" w:hAnchor="page" w:x="1377" w:y="7743"/>
        <w:shd w:val="clear" w:color="auto" w:fill="auto"/>
        <w:spacing w:after="260"/>
      </w:pPr>
      <w:r>
        <w:t>K</w:t>
      </w:r>
      <w:r>
        <w:t>ontaktní osoba pro věci tech</w:t>
      </w:r>
      <w:r>
        <w:t>nické:</w:t>
      </w:r>
    </w:p>
    <w:p w:rsidR="00AF3FB4" w:rsidRDefault="006415ED">
      <w:pPr>
        <w:pStyle w:val="Zkladntext1"/>
        <w:framePr w:w="8976" w:h="3518" w:wrap="none" w:hAnchor="page" w:x="1377" w:y="7743"/>
        <w:shd w:val="clear" w:color="auto" w:fill="auto"/>
        <w:spacing w:after="260"/>
      </w:pPr>
      <w:r>
        <w:t xml:space="preserve">(dále jen </w:t>
      </w:r>
      <w:r>
        <w:rPr>
          <w:u w:val="single"/>
        </w:rPr>
        <w:t>„dodavatel</w:t>
      </w:r>
      <w:r>
        <w:t>“)</w:t>
      </w:r>
    </w:p>
    <w:p w:rsidR="00AF3FB4" w:rsidRDefault="006415ED">
      <w:pPr>
        <w:pStyle w:val="Nadpis30"/>
        <w:keepNext/>
        <w:keepLines/>
        <w:framePr w:w="2323" w:h="274" w:wrap="none" w:hAnchor="page" w:x="4780" w:y="11703"/>
        <w:shd w:val="clear" w:color="auto" w:fill="auto"/>
        <w:spacing w:after="0"/>
        <w:jc w:val="left"/>
      </w:pPr>
      <w:bookmarkStart w:id="6" w:name="bookmark6"/>
      <w:bookmarkStart w:id="7" w:name="bookmark7"/>
      <w:r>
        <w:t>2. Předmět smlouvy</w:t>
      </w:r>
      <w:bookmarkEnd w:id="6"/>
      <w:bookmarkEnd w:id="7"/>
    </w:p>
    <w:p w:rsidR="00AF3FB4" w:rsidRDefault="006415ED">
      <w:pPr>
        <w:pStyle w:val="Zkladntext1"/>
        <w:framePr w:w="8798" w:h="2237" w:wrap="none" w:hAnchor="page" w:x="1737" w:y="12323"/>
        <w:numPr>
          <w:ilvl w:val="0"/>
          <w:numId w:val="1"/>
        </w:numPr>
        <w:shd w:val="clear" w:color="auto" w:fill="auto"/>
        <w:tabs>
          <w:tab w:val="left" w:pos="432"/>
        </w:tabs>
        <w:spacing w:after="100" w:line="276" w:lineRule="auto"/>
        <w:ind w:left="440" w:hanging="440"/>
        <w:jc w:val="both"/>
      </w:pPr>
      <w:r>
        <w:t>Předmětem této smlouvy je závazek dodavatele dodat objednateli věc, která je předmětem dodávky, a umožnit objednateli nabýt právo k užívání předmětu dodávky (licenci), a to bez časového a územního omezení, p</w:t>
      </w:r>
      <w:r>
        <w:t>ro účely zálohování a obnovy dat, a závazek objednatele, že zaplatí dodavateli cenu sjednanou v čl.</w:t>
      </w:r>
      <w:hyperlink w:anchor="bookmark10" w:tooltip="Current Document">
        <w:r>
          <w:t xml:space="preserve"> 4.</w:t>
        </w:r>
      </w:hyperlink>
      <w:r>
        <w:t xml:space="preserve"> této smlouvy.</w:t>
      </w:r>
    </w:p>
    <w:p w:rsidR="00AF3FB4" w:rsidRDefault="006415ED">
      <w:pPr>
        <w:pStyle w:val="Zkladntext1"/>
        <w:framePr w:w="8798" w:h="2237" w:wrap="none" w:hAnchor="page" w:x="1737" w:y="12323"/>
        <w:numPr>
          <w:ilvl w:val="0"/>
          <w:numId w:val="1"/>
        </w:numPr>
        <w:shd w:val="clear" w:color="auto" w:fill="auto"/>
        <w:tabs>
          <w:tab w:val="left" w:pos="432"/>
        </w:tabs>
        <w:spacing w:after="0"/>
        <w:ind w:left="440" w:hanging="440"/>
        <w:jc w:val="both"/>
      </w:pPr>
      <w:r>
        <w:t xml:space="preserve">Plnění dle této smlouvy určené pro Agenturu ochrany přírody a krajiny České </w:t>
      </w:r>
      <w:r>
        <w:t xml:space="preserve">republiky je pořizováno pro potřeby integrovaného projektu LIFE 17 IPE/CZ/000005 LIFE-IP: N2K </w:t>
      </w:r>
      <w:proofErr w:type="spellStart"/>
      <w:r>
        <w:t>Revisited</w:t>
      </w:r>
      <w:proofErr w:type="spellEnd"/>
      <w:r>
        <w:t xml:space="preserve"> spolufinancovaného z finančních zdrojů Evropské komise a Ministerstva životního prostředí České republiky.</w:t>
      </w:r>
    </w:p>
    <w:p w:rsidR="00AF3FB4" w:rsidRDefault="006415ED">
      <w:pPr>
        <w:spacing w:line="360" w:lineRule="exact"/>
      </w:pPr>
      <w:r>
        <w:rPr>
          <w:noProof/>
          <w:lang w:bidi="ar-SA"/>
        </w:rP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529590</wp:posOffset>
            </wp:positionH>
            <wp:positionV relativeFrom="margin">
              <wp:posOffset>45720</wp:posOffset>
            </wp:positionV>
            <wp:extent cx="646430" cy="658495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646430" cy="658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62914691" behindDoc="1" locked="0" layoutInCell="1" allowOverlap="1">
            <wp:simplePos x="0" y="0"/>
            <wp:positionH relativeFrom="page">
              <wp:posOffset>2013585</wp:posOffset>
            </wp:positionH>
            <wp:positionV relativeFrom="margin">
              <wp:posOffset>94615</wp:posOffset>
            </wp:positionV>
            <wp:extent cx="1176655" cy="719455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11766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12065" distB="0" distL="0" distR="929640" simplePos="0" relativeHeight="62914692" behindDoc="1" locked="0" layoutInCell="1" allowOverlap="1">
            <wp:simplePos x="0" y="0"/>
            <wp:positionH relativeFrom="page">
              <wp:posOffset>4933950</wp:posOffset>
            </wp:positionH>
            <wp:positionV relativeFrom="margin">
              <wp:posOffset>447675</wp:posOffset>
            </wp:positionV>
            <wp:extent cx="859790" cy="164465"/>
            <wp:effectExtent l="0" t="0" r="0" b="0"/>
            <wp:wrapNone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859790" cy="164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F3FB4" w:rsidRDefault="00AF3FB4">
      <w:pPr>
        <w:spacing w:line="360" w:lineRule="exact"/>
      </w:pPr>
      <w:bookmarkStart w:id="8" w:name="_GoBack"/>
      <w:bookmarkEnd w:id="8"/>
    </w:p>
    <w:p w:rsidR="00AF3FB4" w:rsidRDefault="00AF3FB4">
      <w:pPr>
        <w:spacing w:line="360" w:lineRule="exact"/>
      </w:pPr>
    </w:p>
    <w:p w:rsidR="00AF3FB4" w:rsidRDefault="00AF3FB4">
      <w:pPr>
        <w:spacing w:line="360" w:lineRule="exact"/>
      </w:pPr>
    </w:p>
    <w:p w:rsidR="00AF3FB4" w:rsidRDefault="00AF3FB4">
      <w:pPr>
        <w:spacing w:line="360" w:lineRule="exact"/>
      </w:pPr>
    </w:p>
    <w:p w:rsidR="00AF3FB4" w:rsidRDefault="00AF3FB4">
      <w:pPr>
        <w:spacing w:line="360" w:lineRule="exact"/>
      </w:pPr>
    </w:p>
    <w:p w:rsidR="00AF3FB4" w:rsidRDefault="00AF3FB4">
      <w:pPr>
        <w:spacing w:line="360" w:lineRule="exact"/>
      </w:pPr>
    </w:p>
    <w:p w:rsidR="00AF3FB4" w:rsidRDefault="00AF3FB4">
      <w:pPr>
        <w:spacing w:line="360" w:lineRule="exact"/>
      </w:pPr>
    </w:p>
    <w:p w:rsidR="00AF3FB4" w:rsidRDefault="00AF3FB4">
      <w:pPr>
        <w:spacing w:line="360" w:lineRule="exact"/>
      </w:pPr>
    </w:p>
    <w:p w:rsidR="00AF3FB4" w:rsidRDefault="00AF3FB4">
      <w:pPr>
        <w:spacing w:line="360" w:lineRule="exact"/>
      </w:pPr>
    </w:p>
    <w:p w:rsidR="00AF3FB4" w:rsidRDefault="00AF3FB4">
      <w:pPr>
        <w:spacing w:line="360" w:lineRule="exact"/>
      </w:pPr>
    </w:p>
    <w:p w:rsidR="00AF3FB4" w:rsidRDefault="00AF3FB4">
      <w:pPr>
        <w:spacing w:line="360" w:lineRule="exact"/>
      </w:pPr>
    </w:p>
    <w:p w:rsidR="00AF3FB4" w:rsidRDefault="00AF3FB4">
      <w:pPr>
        <w:spacing w:line="360" w:lineRule="exact"/>
      </w:pPr>
    </w:p>
    <w:p w:rsidR="00AF3FB4" w:rsidRDefault="00AF3FB4">
      <w:pPr>
        <w:spacing w:line="360" w:lineRule="exact"/>
      </w:pPr>
    </w:p>
    <w:p w:rsidR="00AF3FB4" w:rsidRDefault="00AF3FB4">
      <w:pPr>
        <w:spacing w:line="360" w:lineRule="exact"/>
      </w:pPr>
    </w:p>
    <w:p w:rsidR="00AF3FB4" w:rsidRDefault="00AF3FB4">
      <w:pPr>
        <w:spacing w:line="360" w:lineRule="exact"/>
      </w:pPr>
    </w:p>
    <w:p w:rsidR="00AF3FB4" w:rsidRDefault="00AF3FB4">
      <w:pPr>
        <w:spacing w:line="360" w:lineRule="exact"/>
      </w:pPr>
    </w:p>
    <w:p w:rsidR="00AF3FB4" w:rsidRDefault="00AF3FB4">
      <w:pPr>
        <w:spacing w:line="360" w:lineRule="exact"/>
      </w:pPr>
    </w:p>
    <w:p w:rsidR="00AF3FB4" w:rsidRDefault="00AF3FB4">
      <w:pPr>
        <w:spacing w:line="360" w:lineRule="exact"/>
      </w:pPr>
    </w:p>
    <w:p w:rsidR="00AF3FB4" w:rsidRDefault="00AF3FB4">
      <w:pPr>
        <w:spacing w:line="360" w:lineRule="exact"/>
      </w:pPr>
    </w:p>
    <w:p w:rsidR="00AF3FB4" w:rsidRDefault="00AF3FB4">
      <w:pPr>
        <w:spacing w:line="360" w:lineRule="exact"/>
      </w:pPr>
    </w:p>
    <w:p w:rsidR="00AF3FB4" w:rsidRDefault="00AF3FB4">
      <w:pPr>
        <w:spacing w:line="360" w:lineRule="exact"/>
      </w:pPr>
    </w:p>
    <w:p w:rsidR="00AF3FB4" w:rsidRDefault="00AF3FB4">
      <w:pPr>
        <w:spacing w:line="360" w:lineRule="exact"/>
      </w:pPr>
    </w:p>
    <w:p w:rsidR="00AF3FB4" w:rsidRDefault="00AF3FB4">
      <w:pPr>
        <w:spacing w:line="360" w:lineRule="exact"/>
      </w:pPr>
    </w:p>
    <w:p w:rsidR="00AF3FB4" w:rsidRDefault="00AF3FB4">
      <w:pPr>
        <w:spacing w:line="360" w:lineRule="exact"/>
      </w:pPr>
    </w:p>
    <w:p w:rsidR="00AF3FB4" w:rsidRDefault="00AF3FB4">
      <w:pPr>
        <w:spacing w:line="360" w:lineRule="exact"/>
      </w:pPr>
    </w:p>
    <w:p w:rsidR="00AF3FB4" w:rsidRDefault="00AF3FB4">
      <w:pPr>
        <w:spacing w:line="360" w:lineRule="exact"/>
      </w:pPr>
    </w:p>
    <w:p w:rsidR="00AF3FB4" w:rsidRDefault="00AF3FB4">
      <w:pPr>
        <w:spacing w:line="360" w:lineRule="exact"/>
      </w:pPr>
    </w:p>
    <w:p w:rsidR="00AF3FB4" w:rsidRDefault="00AF3FB4">
      <w:pPr>
        <w:spacing w:line="360" w:lineRule="exact"/>
      </w:pPr>
    </w:p>
    <w:p w:rsidR="00AF3FB4" w:rsidRDefault="00AF3FB4">
      <w:pPr>
        <w:spacing w:line="360" w:lineRule="exact"/>
      </w:pPr>
    </w:p>
    <w:p w:rsidR="00AF3FB4" w:rsidRDefault="00AF3FB4">
      <w:pPr>
        <w:spacing w:line="360" w:lineRule="exact"/>
      </w:pPr>
    </w:p>
    <w:p w:rsidR="00AF3FB4" w:rsidRDefault="00AF3FB4">
      <w:pPr>
        <w:spacing w:line="360" w:lineRule="exact"/>
      </w:pPr>
    </w:p>
    <w:p w:rsidR="00AF3FB4" w:rsidRDefault="00AF3FB4">
      <w:pPr>
        <w:spacing w:line="360" w:lineRule="exact"/>
      </w:pPr>
    </w:p>
    <w:p w:rsidR="00AF3FB4" w:rsidRDefault="00AF3FB4">
      <w:pPr>
        <w:spacing w:line="360" w:lineRule="exact"/>
      </w:pPr>
    </w:p>
    <w:p w:rsidR="00AF3FB4" w:rsidRDefault="00AF3FB4">
      <w:pPr>
        <w:spacing w:line="360" w:lineRule="exact"/>
      </w:pPr>
    </w:p>
    <w:p w:rsidR="00AF3FB4" w:rsidRDefault="00AF3FB4">
      <w:pPr>
        <w:spacing w:line="360" w:lineRule="exact"/>
      </w:pPr>
    </w:p>
    <w:p w:rsidR="00AF3FB4" w:rsidRDefault="00AF3FB4">
      <w:pPr>
        <w:spacing w:line="360" w:lineRule="exact"/>
      </w:pPr>
    </w:p>
    <w:p w:rsidR="00AF3FB4" w:rsidRDefault="00AF3FB4">
      <w:pPr>
        <w:spacing w:line="360" w:lineRule="exact"/>
      </w:pPr>
    </w:p>
    <w:p w:rsidR="00AF3FB4" w:rsidRDefault="00AF3FB4">
      <w:pPr>
        <w:spacing w:line="360" w:lineRule="exact"/>
      </w:pPr>
    </w:p>
    <w:p w:rsidR="00AF3FB4" w:rsidRDefault="00AF3FB4">
      <w:pPr>
        <w:spacing w:after="517" w:line="1" w:lineRule="exact"/>
      </w:pPr>
    </w:p>
    <w:p w:rsidR="00AF3FB4" w:rsidRDefault="00AF3FB4">
      <w:pPr>
        <w:spacing w:line="1" w:lineRule="exact"/>
        <w:sectPr w:rsidR="00AF3FB4">
          <w:pgSz w:w="11900" w:h="16840"/>
          <w:pgMar w:top="606" w:right="1313" w:bottom="606" w:left="834" w:header="178" w:footer="178" w:gutter="0"/>
          <w:pgNumType w:start="1"/>
          <w:cols w:space="720"/>
          <w:noEndnote/>
          <w:docGrid w:linePitch="360"/>
        </w:sectPr>
      </w:pPr>
    </w:p>
    <w:p w:rsidR="00AF3FB4" w:rsidRDefault="006415ED">
      <w:pPr>
        <w:pStyle w:val="Nadpis30"/>
        <w:keepNext/>
        <w:keepLines/>
        <w:numPr>
          <w:ilvl w:val="0"/>
          <w:numId w:val="2"/>
        </w:numPr>
        <w:shd w:val="clear" w:color="auto" w:fill="auto"/>
        <w:tabs>
          <w:tab w:val="left" w:pos="360"/>
        </w:tabs>
        <w:spacing w:before="780"/>
      </w:pPr>
      <w:bookmarkStart w:id="9" w:name="bookmark8"/>
      <w:bookmarkStart w:id="10" w:name="bookmark9"/>
      <w:r>
        <w:lastRenderedPageBreak/>
        <w:t>Předmět dodávky</w:t>
      </w:r>
      <w:bookmarkEnd w:id="9"/>
      <w:bookmarkEnd w:id="10"/>
    </w:p>
    <w:p w:rsidR="00AF3FB4" w:rsidRDefault="006415ED">
      <w:pPr>
        <w:pStyle w:val="Zkladntext1"/>
        <w:numPr>
          <w:ilvl w:val="1"/>
          <w:numId w:val="2"/>
        </w:numPr>
        <w:shd w:val="clear" w:color="auto" w:fill="auto"/>
        <w:tabs>
          <w:tab w:val="left" w:pos="856"/>
        </w:tabs>
        <w:ind w:firstLine="380"/>
        <w:jc w:val="both"/>
      </w:pPr>
      <w:r>
        <w:t>Předmětem dodávky dle této smlouvy jsou následující věci:</w:t>
      </w:r>
    </w:p>
    <w:p w:rsidR="00AF3FB4" w:rsidRDefault="006415ED">
      <w:pPr>
        <w:pStyle w:val="Zkladntext1"/>
        <w:shd w:val="clear" w:color="auto" w:fill="auto"/>
        <w:ind w:left="1140"/>
        <w:jc w:val="both"/>
      </w:pPr>
      <w:r>
        <w:t xml:space="preserve">40 ks softwarové licence CISCO WEBEX včetně softwarové podpory na dobu 12 měsíců a uživatelské dokumentace. Podrobná technická specifikace licencí je </w:t>
      </w:r>
      <w:r>
        <w:t>uvedena v příloze č. 1 této smlouvy.</w:t>
      </w:r>
    </w:p>
    <w:p w:rsidR="00AF3FB4" w:rsidRDefault="006415ED">
      <w:pPr>
        <w:pStyle w:val="Zkladntext1"/>
        <w:numPr>
          <w:ilvl w:val="1"/>
          <w:numId w:val="2"/>
        </w:numPr>
        <w:shd w:val="clear" w:color="auto" w:fill="auto"/>
        <w:tabs>
          <w:tab w:val="left" w:pos="856"/>
        </w:tabs>
        <w:spacing w:line="276" w:lineRule="auto"/>
        <w:ind w:left="800" w:hanging="420"/>
        <w:jc w:val="both"/>
      </w:pPr>
      <w:r>
        <w:t>Smluvní strany se dohodly, že součástí předmětu dodávky budou také veškeré dostupné aktualizace softwaru a to bez zbytečného odkladu po jejich vydání. Cena za aktualizace je zahrnuta v ceně předmětu dodávky, stanovené v</w:t>
      </w:r>
      <w:r>
        <w:t xml:space="preserve"> čl. 4.1 této smlouvy.</w:t>
      </w:r>
    </w:p>
    <w:p w:rsidR="00AF3FB4" w:rsidRDefault="006415ED">
      <w:pPr>
        <w:pStyle w:val="Zkladntext1"/>
        <w:numPr>
          <w:ilvl w:val="1"/>
          <w:numId w:val="2"/>
        </w:numPr>
        <w:shd w:val="clear" w:color="auto" w:fill="auto"/>
        <w:tabs>
          <w:tab w:val="left" w:pos="856"/>
        </w:tabs>
        <w:ind w:left="800" w:hanging="420"/>
        <w:jc w:val="both"/>
      </w:pPr>
      <w:r>
        <w:t>Součástí předmětu dodávky je i korektní nastavení počtu licencí a doby softwarové podpory na licenčním portále výrobce, které zajistí dodavatel (dále jen „Registrace na licenčním portále výrobce).</w:t>
      </w:r>
    </w:p>
    <w:p w:rsidR="00AF3FB4" w:rsidRDefault="006415ED">
      <w:pPr>
        <w:pStyle w:val="Zkladntext1"/>
        <w:shd w:val="clear" w:color="auto" w:fill="auto"/>
        <w:spacing w:after="480"/>
        <w:ind w:firstLine="800"/>
        <w:jc w:val="both"/>
      </w:pPr>
      <w:bookmarkStart w:id="11" w:name="bookmark10"/>
      <w:r>
        <w:t>(dále jako „Předmět dodávky“)</w:t>
      </w:r>
      <w:bookmarkEnd w:id="11"/>
    </w:p>
    <w:p w:rsidR="00AF3FB4" w:rsidRDefault="006415ED">
      <w:pPr>
        <w:pStyle w:val="Nadpis30"/>
        <w:keepNext/>
        <w:keepLines/>
        <w:numPr>
          <w:ilvl w:val="0"/>
          <w:numId w:val="2"/>
        </w:numPr>
        <w:shd w:val="clear" w:color="auto" w:fill="auto"/>
        <w:tabs>
          <w:tab w:val="left" w:pos="360"/>
        </w:tabs>
        <w:spacing w:line="271" w:lineRule="auto"/>
      </w:pPr>
      <w:bookmarkStart w:id="12" w:name="bookmark11"/>
      <w:bookmarkStart w:id="13" w:name="bookmark12"/>
      <w:r>
        <w:t>Cena a</w:t>
      </w:r>
      <w:r>
        <w:t xml:space="preserve"> její splatnost</w:t>
      </w:r>
      <w:bookmarkEnd w:id="12"/>
      <w:bookmarkEnd w:id="13"/>
    </w:p>
    <w:p w:rsidR="00AF3FB4" w:rsidRDefault="006415ED">
      <w:pPr>
        <w:pStyle w:val="Zkladntext1"/>
        <w:numPr>
          <w:ilvl w:val="1"/>
          <w:numId w:val="2"/>
        </w:numPr>
        <w:shd w:val="clear" w:color="auto" w:fill="auto"/>
        <w:tabs>
          <w:tab w:val="left" w:pos="837"/>
        </w:tabs>
        <w:spacing w:after="480"/>
        <w:ind w:firstLine="380"/>
        <w:jc w:val="both"/>
      </w:pPr>
      <w:bookmarkStart w:id="14" w:name="bookmark13"/>
      <w:r>
        <w:t xml:space="preserve">Cena za předmět dodávky (dále jen </w:t>
      </w:r>
      <w:r>
        <w:rPr>
          <w:u w:val="single"/>
        </w:rPr>
        <w:t>„cena</w:t>
      </w:r>
      <w:r>
        <w:t>“) je stanovena dohodou smluvních stran a činí</w:t>
      </w:r>
      <w:bookmarkEnd w:id="14"/>
    </w:p>
    <w:p w:rsidR="00AF3FB4" w:rsidRDefault="006415ED">
      <w:pPr>
        <w:pStyle w:val="Zkladntext1"/>
        <w:shd w:val="clear" w:color="auto" w:fill="auto"/>
        <w:spacing w:after="0"/>
        <w:ind w:firstLine="860"/>
        <w:jc w:val="both"/>
      </w:pPr>
      <w:r>
        <w:t>Cena bez DPH: 172 666,- Kč</w:t>
      </w:r>
    </w:p>
    <w:p w:rsidR="00AF3FB4" w:rsidRDefault="006415ED">
      <w:pPr>
        <w:pStyle w:val="Zkladntext1"/>
        <w:shd w:val="clear" w:color="auto" w:fill="auto"/>
        <w:spacing w:after="0"/>
        <w:ind w:firstLine="860"/>
      </w:pPr>
      <w:r>
        <w:t>DPH: 36 259,86 Kč</w:t>
      </w:r>
    </w:p>
    <w:p w:rsidR="00AF3FB4" w:rsidRDefault="006415ED">
      <w:pPr>
        <w:pStyle w:val="Zkladntext1"/>
        <w:shd w:val="clear" w:color="auto" w:fill="auto"/>
        <w:ind w:left="860"/>
        <w:jc w:val="both"/>
      </w:pPr>
      <w:r>
        <w:t xml:space="preserve">Cena včetně DPH: 208 925,86 Kč (slovy: dvě stě osm tisíc devět set dvacet pět korun českých osmdesát šest </w:t>
      </w:r>
      <w:r>
        <w:t>haléřů)</w:t>
      </w:r>
    </w:p>
    <w:p w:rsidR="00AF3FB4" w:rsidRDefault="006415ED">
      <w:pPr>
        <w:pStyle w:val="Zkladntext1"/>
        <w:shd w:val="clear" w:color="auto" w:fill="auto"/>
        <w:spacing w:after="480"/>
        <w:ind w:firstLine="860"/>
        <w:jc w:val="both"/>
      </w:pPr>
      <w:r>
        <w:t>Dodavatel je plátcem DPH</w:t>
      </w:r>
    </w:p>
    <w:p w:rsidR="00AF3FB4" w:rsidRDefault="006415ED">
      <w:pPr>
        <w:pStyle w:val="Zkladntext1"/>
        <w:numPr>
          <w:ilvl w:val="1"/>
          <w:numId w:val="2"/>
        </w:numPr>
        <w:shd w:val="clear" w:color="auto" w:fill="auto"/>
        <w:tabs>
          <w:tab w:val="left" w:pos="837"/>
        </w:tabs>
        <w:ind w:firstLine="380"/>
        <w:jc w:val="both"/>
      </w:pPr>
      <w:r>
        <w:t>Cena zahrnuje rovněž veškeré náklady dodavatele související s dodávkou objednateli.</w:t>
      </w:r>
    </w:p>
    <w:p w:rsidR="00AF3FB4" w:rsidRDefault="006415ED">
      <w:pPr>
        <w:pStyle w:val="Zkladntext1"/>
        <w:numPr>
          <w:ilvl w:val="1"/>
          <w:numId w:val="2"/>
        </w:numPr>
        <w:shd w:val="clear" w:color="auto" w:fill="auto"/>
        <w:tabs>
          <w:tab w:val="left" w:pos="837"/>
        </w:tabs>
        <w:ind w:left="800" w:hanging="420"/>
        <w:jc w:val="both"/>
      </w:pPr>
      <w:r>
        <w:t>Cena uvedená v čl.</w:t>
      </w:r>
      <w:hyperlink w:anchor="bookmark13" w:tooltip="Current Document">
        <w:r>
          <w:t xml:space="preserve"> 4.1 </w:t>
        </w:r>
      </w:hyperlink>
      <w:r>
        <w:t xml:space="preserve">této smlouvy je sjednána smluvními stranami jako cena pevná. </w:t>
      </w:r>
      <w:r>
        <w:t>Jakékoliv změny ceny mohou být provedeny výhradně písemným dodatkem k této smlouvě, podepsaným oběma smluvními stranami.</w:t>
      </w:r>
    </w:p>
    <w:p w:rsidR="00AF3FB4" w:rsidRDefault="006415ED">
      <w:pPr>
        <w:pStyle w:val="Zkladntext1"/>
        <w:numPr>
          <w:ilvl w:val="1"/>
          <w:numId w:val="2"/>
        </w:numPr>
        <w:shd w:val="clear" w:color="auto" w:fill="auto"/>
        <w:tabs>
          <w:tab w:val="left" w:pos="837"/>
        </w:tabs>
        <w:ind w:left="800" w:hanging="420"/>
        <w:jc w:val="both"/>
      </w:pPr>
      <w:r>
        <w:t>Cena je splatná ve lhůtě třiceti (30) kalendářních dnů ode dne, kdy byla objednateli doručena faktura (daňový doklad) dodavatele obsahu</w:t>
      </w:r>
      <w:r>
        <w:t>jící (i) náležitosti daňového resp. účetního dokladu podle platných obecně závazných právních předpisů, a (</w:t>
      </w:r>
      <w:proofErr w:type="spellStart"/>
      <w:r>
        <w:t>ii</w:t>
      </w:r>
      <w:proofErr w:type="spellEnd"/>
      <w:r>
        <w:t xml:space="preserve">) odkaz na číslo této smlouvy. </w:t>
      </w:r>
      <w:r>
        <w:rPr>
          <w:b/>
          <w:bCs/>
        </w:rPr>
        <w:t xml:space="preserve">Na faktuře (daňovém dokladu) musí být uveden text ve znění: „Fakturováno pro potřeby integrovaného projektu LIFE 17 </w:t>
      </w:r>
      <w:r>
        <w:rPr>
          <w:b/>
          <w:bCs/>
        </w:rPr>
        <w:t xml:space="preserve">IPE/CZ/000005 LIFE-IP: N2K </w:t>
      </w:r>
      <w:proofErr w:type="spellStart"/>
      <w:r>
        <w:rPr>
          <w:b/>
          <w:bCs/>
        </w:rPr>
        <w:t>Revisited</w:t>
      </w:r>
      <w:proofErr w:type="spellEnd"/>
      <w:r>
        <w:rPr>
          <w:b/>
          <w:bCs/>
        </w:rPr>
        <w:t xml:space="preserve"> spolufinancovaného z finančních zdrojů Evropské komise a Ministerstva životního prostředí České republiky.“ </w:t>
      </w:r>
      <w:r>
        <w:t>Faktura (daňový doklad) musí být zaslána na adresu sídla objednatele uvedenou v záhlaví této smlouvy.</w:t>
      </w:r>
    </w:p>
    <w:p w:rsidR="00AF3FB4" w:rsidRDefault="006415ED">
      <w:pPr>
        <w:pStyle w:val="Zkladntext1"/>
        <w:numPr>
          <w:ilvl w:val="1"/>
          <w:numId w:val="2"/>
        </w:numPr>
        <w:shd w:val="clear" w:color="auto" w:fill="auto"/>
        <w:tabs>
          <w:tab w:val="left" w:pos="837"/>
        </w:tabs>
        <w:ind w:left="800" w:hanging="420"/>
        <w:jc w:val="both"/>
      </w:pPr>
      <w:r>
        <w:t>Právo dod</w:t>
      </w:r>
      <w:r>
        <w:t>avatele vystavit fakturu (daňový doklad) vzniká ke dni provedení registrace licencí na licenčním portále výrobce.</w:t>
      </w:r>
    </w:p>
    <w:p w:rsidR="00AF3FB4" w:rsidRDefault="006415ED">
      <w:pPr>
        <w:pStyle w:val="Zkladntext1"/>
        <w:numPr>
          <w:ilvl w:val="1"/>
          <w:numId w:val="2"/>
        </w:numPr>
        <w:shd w:val="clear" w:color="auto" w:fill="auto"/>
        <w:tabs>
          <w:tab w:val="left" w:pos="837"/>
        </w:tabs>
        <w:ind w:left="800" w:hanging="420"/>
        <w:jc w:val="both"/>
      </w:pPr>
      <w:r>
        <w:t>Objednatel má právo fakturu (daňový doklad) dodavateli před uplynutím lhůty splatnosti vrátit, aniž by došlo k prodlení s jeho úhradou, (i) ob</w:t>
      </w:r>
      <w:r>
        <w:t>sahuje-li nesprávné údaje nebo (</w:t>
      </w:r>
      <w:proofErr w:type="spellStart"/>
      <w:r>
        <w:t>ii</w:t>
      </w:r>
      <w:proofErr w:type="spellEnd"/>
      <w:r>
        <w:t>) chybí-li na faktuře (daňovém dokladu) odkaz na číslo této smlouvy. Nová lhůta splatnosti v délce třiceti (30) kalendářních dnů počne plynout ode dne doručení opravené faktury (daňového dokladu) objednateli.</w:t>
      </w:r>
    </w:p>
    <w:p w:rsidR="00AF3FB4" w:rsidRDefault="006415ED">
      <w:pPr>
        <w:pStyle w:val="Nadpis30"/>
        <w:keepNext/>
        <w:keepLines/>
        <w:numPr>
          <w:ilvl w:val="0"/>
          <w:numId w:val="2"/>
        </w:numPr>
        <w:shd w:val="clear" w:color="auto" w:fill="auto"/>
        <w:tabs>
          <w:tab w:val="left" w:pos="360"/>
        </w:tabs>
      </w:pPr>
      <w:bookmarkStart w:id="15" w:name="bookmark14"/>
      <w:bookmarkStart w:id="16" w:name="bookmark15"/>
      <w:r>
        <w:lastRenderedPageBreak/>
        <w:t>Čas plnění</w:t>
      </w:r>
      <w:bookmarkEnd w:id="15"/>
      <w:bookmarkEnd w:id="16"/>
    </w:p>
    <w:p w:rsidR="00AF3FB4" w:rsidRDefault="006415ED">
      <w:pPr>
        <w:pStyle w:val="Zkladntext1"/>
        <w:numPr>
          <w:ilvl w:val="1"/>
          <w:numId w:val="2"/>
        </w:numPr>
        <w:shd w:val="clear" w:color="auto" w:fill="auto"/>
        <w:tabs>
          <w:tab w:val="left" w:pos="856"/>
        </w:tabs>
        <w:spacing w:after="480" w:line="276" w:lineRule="auto"/>
        <w:ind w:left="800" w:hanging="420"/>
        <w:jc w:val="both"/>
      </w:pPr>
      <w:bookmarkStart w:id="17" w:name="bookmark16"/>
      <w:r>
        <w:t>Sm</w:t>
      </w:r>
      <w:r>
        <w:t>luvní strany si sjednaly, že dodavatel poskytne objednateli předmět dodávky do 5 pracovních dní od účinnosti smlouvy.</w:t>
      </w:r>
      <w:bookmarkEnd w:id="17"/>
    </w:p>
    <w:p w:rsidR="00AF3FB4" w:rsidRDefault="006415ED">
      <w:pPr>
        <w:pStyle w:val="Nadpis30"/>
        <w:keepNext/>
        <w:keepLines/>
        <w:numPr>
          <w:ilvl w:val="0"/>
          <w:numId w:val="2"/>
        </w:numPr>
        <w:shd w:val="clear" w:color="auto" w:fill="auto"/>
        <w:tabs>
          <w:tab w:val="left" w:pos="360"/>
        </w:tabs>
        <w:spacing w:line="271" w:lineRule="auto"/>
      </w:pPr>
      <w:bookmarkStart w:id="18" w:name="bookmark17"/>
      <w:bookmarkStart w:id="19" w:name="bookmark18"/>
      <w:r>
        <w:t>Nebezpečí škody</w:t>
      </w:r>
      <w:bookmarkEnd w:id="18"/>
      <w:bookmarkEnd w:id="19"/>
    </w:p>
    <w:p w:rsidR="00AF3FB4" w:rsidRDefault="006415ED">
      <w:pPr>
        <w:pStyle w:val="Zkladntext1"/>
        <w:numPr>
          <w:ilvl w:val="1"/>
          <w:numId w:val="2"/>
        </w:numPr>
        <w:shd w:val="clear" w:color="auto" w:fill="auto"/>
        <w:tabs>
          <w:tab w:val="left" w:pos="856"/>
        </w:tabs>
        <w:spacing w:after="480"/>
        <w:ind w:left="800" w:hanging="420"/>
        <w:jc w:val="both"/>
      </w:pPr>
      <w:r>
        <w:t xml:space="preserve">Dodavatel prohlašuje a odpovídá objednateli za právní bezvadnost předmětu dodání a za skutečnost, že uzavřením této </w:t>
      </w:r>
      <w:r>
        <w:t>smlouvy není porušena žádná povinnost dodavatele nebo práva či oprávněné zájmy jiných osob.</w:t>
      </w:r>
    </w:p>
    <w:p w:rsidR="00AF3FB4" w:rsidRDefault="006415ED">
      <w:pPr>
        <w:pStyle w:val="Nadpis30"/>
        <w:keepNext/>
        <w:keepLines/>
        <w:numPr>
          <w:ilvl w:val="0"/>
          <w:numId w:val="2"/>
        </w:numPr>
        <w:shd w:val="clear" w:color="auto" w:fill="auto"/>
        <w:tabs>
          <w:tab w:val="left" w:pos="360"/>
        </w:tabs>
        <w:spacing w:line="271" w:lineRule="auto"/>
      </w:pPr>
      <w:bookmarkStart w:id="20" w:name="bookmark19"/>
      <w:bookmarkStart w:id="21" w:name="bookmark20"/>
      <w:r>
        <w:t>Smluvní pokuty a úroky z prodlení</w:t>
      </w:r>
      <w:bookmarkEnd w:id="20"/>
      <w:bookmarkEnd w:id="21"/>
    </w:p>
    <w:p w:rsidR="00AF3FB4" w:rsidRDefault="006415ED">
      <w:pPr>
        <w:pStyle w:val="Zkladntext1"/>
        <w:numPr>
          <w:ilvl w:val="1"/>
          <w:numId w:val="2"/>
        </w:numPr>
        <w:shd w:val="clear" w:color="auto" w:fill="auto"/>
        <w:tabs>
          <w:tab w:val="left" w:pos="856"/>
        </w:tabs>
        <w:ind w:left="800" w:hanging="420"/>
        <w:jc w:val="both"/>
      </w:pPr>
      <w:r>
        <w:t>V případě, že dodavatel nedodrží termín plnění sjednaný v bodu</w:t>
      </w:r>
      <w:hyperlink w:anchor="bookmark16" w:tooltip="Current Document">
        <w:r>
          <w:t xml:space="preserve"> 5.1 </w:t>
        </w:r>
      </w:hyperlink>
      <w:r>
        <w:t>této sml</w:t>
      </w:r>
      <w:r>
        <w:t>ouvy, je povinen zaplatit objednateli smluvní pokutu ve výši 0,05 % z celkové ceny (tj. včetně DPH) uvedené v bodu</w:t>
      </w:r>
      <w:hyperlink w:anchor="bookmark13" w:tooltip="Current Document">
        <w:r>
          <w:t xml:space="preserve"> 4.1 </w:t>
        </w:r>
      </w:hyperlink>
      <w:r>
        <w:t>této smlouvy za každý započatý den prodlení.</w:t>
      </w:r>
    </w:p>
    <w:p w:rsidR="00AF3FB4" w:rsidRDefault="006415ED">
      <w:pPr>
        <w:pStyle w:val="Zkladntext1"/>
        <w:numPr>
          <w:ilvl w:val="1"/>
          <w:numId w:val="2"/>
        </w:numPr>
        <w:shd w:val="clear" w:color="auto" w:fill="auto"/>
        <w:tabs>
          <w:tab w:val="left" w:pos="856"/>
        </w:tabs>
        <w:ind w:left="800" w:hanging="420"/>
        <w:jc w:val="both"/>
      </w:pPr>
      <w:r>
        <w:t>V případě prodlení objednatele s plac</w:t>
      </w:r>
      <w:r>
        <w:t>ením řádně vystavené faktury, je objednatel povinen zaplatit dodavateli úrok z prodlení ve výši stanovené příslušnými právními předpisy z nezaplacené částky.</w:t>
      </w:r>
    </w:p>
    <w:p w:rsidR="00AF3FB4" w:rsidRDefault="006415ED">
      <w:pPr>
        <w:pStyle w:val="Zkladntext1"/>
        <w:numPr>
          <w:ilvl w:val="1"/>
          <w:numId w:val="2"/>
        </w:numPr>
        <w:shd w:val="clear" w:color="auto" w:fill="auto"/>
        <w:tabs>
          <w:tab w:val="left" w:pos="856"/>
        </w:tabs>
        <w:ind w:left="800" w:hanging="420"/>
        <w:jc w:val="both"/>
      </w:pPr>
      <w:r>
        <w:t>Všechny smluvní sankce uplatněné dle této smlouvy jsou splatné do čtrnácti (14) kalendářních dnů o</w:t>
      </w:r>
      <w:r>
        <w:t>de dne doručení písemného oznámení o jejich uplatnění stranou oprávněnou straně povinné. Ujednání o úroku z prodlení a smluvních pokutách zůstávají případným odstoupením od této smlouvy nedotčena a trvají i po skončení účinnosti této smlouvy.</w:t>
      </w:r>
    </w:p>
    <w:p w:rsidR="00AF3FB4" w:rsidRDefault="006415ED">
      <w:pPr>
        <w:pStyle w:val="Zkladntext1"/>
        <w:numPr>
          <w:ilvl w:val="1"/>
          <w:numId w:val="2"/>
        </w:numPr>
        <w:shd w:val="clear" w:color="auto" w:fill="auto"/>
        <w:tabs>
          <w:tab w:val="left" w:pos="856"/>
        </w:tabs>
        <w:spacing w:after="480"/>
        <w:ind w:left="800" w:hanging="420"/>
        <w:jc w:val="both"/>
      </w:pPr>
      <w:r>
        <w:t xml:space="preserve">Ustanoveními </w:t>
      </w:r>
      <w:r>
        <w:t>o smluvní pokutě není dotčen nárok oprávněné smluvní strany žádat náhradu škody v plné výši.</w:t>
      </w:r>
    </w:p>
    <w:p w:rsidR="00AF3FB4" w:rsidRDefault="006415ED">
      <w:pPr>
        <w:pStyle w:val="Nadpis30"/>
        <w:keepNext/>
        <w:keepLines/>
        <w:numPr>
          <w:ilvl w:val="0"/>
          <w:numId w:val="2"/>
        </w:numPr>
        <w:shd w:val="clear" w:color="auto" w:fill="auto"/>
        <w:tabs>
          <w:tab w:val="left" w:pos="360"/>
        </w:tabs>
        <w:spacing w:line="271" w:lineRule="auto"/>
      </w:pPr>
      <w:bookmarkStart w:id="22" w:name="bookmark21"/>
      <w:bookmarkStart w:id="23" w:name="bookmark22"/>
      <w:r>
        <w:t>Závěrečná ustanovení</w:t>
      </w:r>
      <w:bookmarkEnd w:id="22"/>
      <w:bookmarkEnd w:id="23"/>
    </w:p>
    <w:p w:rsidR="00AF3FB4" w:rsidRDefault="006415ED">
      <w:pPr>
        <w:pStyle w:val="Zkladntext1"/>
        <w:numPr>
          <w:ilvl w:val="1"/>
          <w:numId w:val="2"/>
        </w:numPr>
        <w:shd w:val="clear" w:color="auto" w:fill="auto"/>
        <w:tabs>
          <w:tab w:val="left" w:pos="856"/>
        </w:tabs>
        <w:ind w:firstLine="380"/>
        <w:jc w:val="both"/>
      </w:pPr>
      <w:r>
        <w:t>Tato smlouva je vyhotovena v elektronickém originálu.</w:t>
      </w:r>
    </w:p>
    <w:p w:rsidR="00AF3FB4" w:rsidRDefault="006415ED">
      <w:pPr>
        <w:pStyle w:val="Zkladntext1"/>
        <w:numPr>
          <w:ilvl w:val="1"/>
          <w:numId w:val="2"/>
        </w:numPr>
        <w:shd w:val="clear" w:color="auto" w:fill="auto"/>
        <w:tabs>
          <w:tab w:val="left" w:pos="856"/>
        </w:tabs>
        <w:ind w:left="800" w:hanging="420"/>
        <w:jc w:val="both"/>
      </w:pPr>
      <w:r>
        <w:t>Tuto smlouvu je možné měnit či doplňovat pouze formou písemných vzestupně číslovaných do</w:t>
      </w:r>
      <w:r>
        <w:t>datků.</w:t>
      </w:r>
    </w:p>
    <w:p w:rsidR="00AF3FB4" w:rsidRDefault="006415ED">
      <w:pPr>
        <w:pStyle w:val="Zkladntext1"/>
        <w:numPr>
          <w:ilvl w:val="1"/>
          <w:numId w:val="2"/>
        </w:numPr>
        <w:shd w:val="clear" w:color="auto" w:fill="auto"/>
        <w:tabs>
          <w:tab w:val="left" w:pos="856"/>
        </w:tabs>
        <w:ind w:left="800" w:hanging="420"/>
        <w:jc w:val="both"/>
      </w:pPr>
      <w:r>
        <w:t>Dodavatel bere na vědomí, že tato smlouva může podléhat povinnosti jejího uveřejnění podle zákona č. 340/2015 Sb., o zvláštních podmínkách účinnosti některých smluv, uveřejňování těchto smluv a o registru smluv (zákon o registru smluv), zákona č. 13</w:t>
      </w:r>
      <w:r>
        <w:t>4/2016 Sb., o zadávání veřejných zakázek, ve znění pozdějších předpisů a/nebo jejího zpřístupnění podle zákona č. 106/1999 Sb., o svobodném přístupu k informacím, ve znění pozdějších předpisů. Dodavatel s uveřejněním či zpřístupněním podle výše uvedených p</w:t>
      </w:r>
      <w:r>
        <w:t>rávních předpisů bezvýhradně souhlasí.</w:t>
      </w:r>
    </w:p>
    <w:p w:rsidR="00AF3FB4" w:rsidRDefault="006415ED">
      <w:pPr>
        <w:pStyle w:val="Zkladntext1"/>
        <w:numPr>
          <w:ilvl w:val="1"/>
          <w:numId w:val="2"/>
        </w:numPr>
        <w:shd w:val="clear" w:color="auto" w:fill="auto"/>
        <w:tabs>
          <w:tab w:val="left" w:pos="856"/>
        </w:tabs>
        <w:spacing w:line="276" w:lineRule="auto"/>
        <w:ind w:left="800" w:hanging="420"/>
        <w:jc w:val="both"/>
      </w:pPr>
      <w:r>
        <w:t>Smluvní strany se zavazují, že v případě sporů o obsah a plnění této smlouvy vynaloží veškeré úsilí, aby tyto spory byly vyřešeny smírnou cestou. Pokud nedojde k dohodě, je příslušný obecný soud žalované strany.</w:t>
      </w:r>
    </w:p>
    <w:p w:rsidR="00AF3FB4" w:rsidRDefault="006415ED">
      <w:pPr>
        <w:pStyle w:val="Zkladntext1"/>
        <w:numPr>
          <w:ilvl w:val="1"/>
          <w:numId w:val="2"/>
        </w:numPr>
        <w:shd w:val="clear" w:color="auto" w:fill="auto"/>
        <w:tabs>
          <w:tab w:val="left" w:pos="856"/>
        </w:tabs>
        <w:ind w:left="800" w:hanging="420"/>
        <w:jc w:val="both"/>
      </w:pPr>
      <w:r>
        <w:t>Smluv</w:t>
      </w:r>
      <w:r>
        <w:t>ní strany prohlašují, že tato smlouva je výrazem jejich vážné a svobodné vůle, je uzavřena nikoli v tísni za nápadně nevýhodných podmínek. Smluvní strany smlouvu přečetly, s jejím obsahem souhlasí a na důkaz toho připojují vlastnoruční podpisy.</w:t>
      </w:r>
    </w:p>
    <w:p w:rsidR="00AF3FB4" w:rsidRDefault="006415ED">
      <w:pPr>
        <w:pStyle w:val="Zkladntext1"/>
        <w:numPr>
          <w:ilvl w:val="1"/>
          <w:numId w:val="2"/>
        </w:numPr>
        <w:shd w:val="clear" w:color="auto" w:fill="auto"/>
        <w:tabs>
          <w:tab w:val="left" w:pos="856"/>
        </w:tabs>
        <w:spacing w:after="240" w:line="276" w:lineRule="auto"/>
        <w:ind w:left="800" w:hanging="420"/>
        <w:jc w:val="both"/>
      </w:pPr>
      <w:r>
        <w:t xml:space="preserve">Smlouva </w:t>
      </w:r>
      <w:r>
        <w:t>nabývá platnosti dnem podpisu oprávněným zástupcem poslední smluvní strany. Smlouva nabývá účinnosti dnem uveřejnění smlouvy v registru smluv podle zákona č.</w:t>
      </w:r>
    </w:p>
    <w:p w:rsidR="00AF3FB4" w:rsidRDefault="006415ED">
      <w:pPr>
        <w:pStyle w:val="Zkladntext1"/>
        <w:shd w:val="clear" w:color="auto" w:fill="auto"/>
        <w:spacing w:after="460" w:line="276" w:lineRule="auto"/>
        <w:ind w:left="800"/>
        <w:jc w:val="both"/>
      </w:pPr>
      <w:r>
        <w:t xml:space="preserve">340/2015 Sb., o registru smluv, ve znění pozdějších předpisů, podle toho, která z výše </w:t>
      </w:r>
      <w:r>
        <w:lastRenderedPageBreak/>
        <w:t>uvedených s</w:t>
      </w:r>
      <w:r>
        <w:t>kutečností nastane později. Smluvní strany se budou vzájemně o nabytí účinnosti neprodleně písemně informovat.</w:t>
      </w:r>
    </w:p>
    <w:p w:rsidR="00AF3FB4" w:rsidRDefault="006415ED">
      <w:pPr>
        <w:pStyle w:val="Nadpis30"/>
        <w:keepNext/>
        <w:keepLines/>
        <w:numPr>
          <w:ilvl w:val="0"/>
          <w:numId w:val="2"/>
        </w:numPr>
        <w:shd w:val="clear" w:color="auto" w:fill="auto"/>
        <w:tabs>
          <w:tab w:val="left" w:pos="368"/>
        </w:tabs>
        <w:spacing w:after="380"/>
      </w:pPr>
      <w:bookmarkStart w:id="24" w:name="bookmark23"/>
      <w:bookmarkStart w:id="25" w:name="bookmark24"/>
      <w:r>
        <w:t>Pří l o h y</w:t>
      </w:r>
      <w:bookmarkEnd w:id="24"/>
      <w:bookmarkEnd w:id="25"/>
    </w:p>
    <w:p w:rsidR="00AF3FB4" w:rsidRDefault="006415ED">
      <w:pPr>
        <w:pStyle w:val="Zkladntext1"/>
        <w:shd w:val="clear" w:color="auto" w:fill="auto"/>
        <w:spacing w:after="1660" w:line="240" w:lineRule="auto"/>
        <w:ind w:firstLine="380"/>
      </w:pPr>
      <w:r>
        <w:t>9.1. Příloha č. 1 - Technická specifikace licencí</w:t>
      </w:r>
    </w:p>
    <w:p w:rsidR="00AF3FB4" w:rsidRDefault="006415ED">
      <w:pPr>
        <w:pStyle w:val="Zkladntext1"/>
        <w:shd w:val="clear" w:color="auto" w:fill="auto"/>
        <w:tabs>
          <w:tab w:val="left" w:leader="dot" w:pos="1776"/>
        </w:tabs>
        <w:spacing w:after="1660" w:line="240" w:lineRule="auto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5579745</wp:posOffset>
                </wp:positionH>
                <wp:positionV relativeFrom="paragraph">
                  <wp:posOffset>12700</wp:posOffset>
                </wp:positionV>
                <wp:extent cx="1094105" cy="170815"/>
                <wp:effectExtent l="0" t="0" r="0" b="0"/>
                <wp:wrapSquare wrapText="lef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4105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F3FB4" w:rsidRDefault="006415ED">
                            <w:pPr>
                              <w:pStyle w:val="Zkladntext1"/>
                              <w:shd w:val="clear" w:color="auto" w:fill="auto"/>
                              <w:tabs>
                                <w:tab w:val="left" w:leader="dot" w:pos="624"/>
                                <w:tab w:val="left" w:leader="dot" w:pos="1656"/>
                              </w:tabs>
                              <w:spacing w:after="0" w:line="240" w:lineRule="auto"/>
                            </w:pPr>
                            <w:r>
                              <w:t>V</w:t>
                            </w:r>
                            <w:r>
                              <w:tab/>
                            </w:r>
                            <w:proofErr w:type="gramStart"/>
                            <w:r>
                              <w:t>dne</w:t>
                            </w:r>
                            <w:proofErr w:type="gramEnd"/>
                            <w:r>
                              <w:tab/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margin-left:439.35000000000002pt;margin-top:1.pt;width:86.150000000000006pt;height:13.449999999999999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leader="dot" w:pos="624" w:val="left"/>
                          <w:tab w:leader="dot" w:pos="1656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</w:t>
                        <w:tab/>
                        <w:t>dne</w:t>
                        <w:tab/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V Praze, dne</w:t>
      </w:r>
      <w:r>
        <w:tab/>
      </w:r>
    </w:p>
    <w:p w:rsidR="00AF3FB4" w:rsidRDefault="006415ED">
      <w:pPr>
        <w:pStyle w:val="Zkladntext1"/>
        <w:shd w:val="clear" w:color="auto" w:fill="auto"/>
        <w:spacing w:after="0" w:line="240" w:lineRule="auto"/>
        <w:jc w:val="right"/>
        <w:sectPr w:rsidR="00AF3FB4">
          <w:footerReference w:type="default" r:id="rId11"/>
          <w:pgSz w:w="11900" w:h="16840"/>
          <w:pgMar w:top="1394" w:right="1320" w:bottom="1205" w:left="1368" w:header="966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885825</wp:posOffset>
                </wp:positionH>
                <wp:positionV relativeFrom="paragraph">
                  <wp:posOffset>12700</wp:posOffset>
                </wp:positionV>
                <wp:extent cx="1713230" cy="173990"/>
                <wp:effectExtent l="0" t="0" r="0" b="0"/>
                <wp:wrapSquare wrapText="bothSides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323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F3FB4" w:rsidRDefault="006415ED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  <w:r>
                              <w:t xml:space="preserve"> (objednatel)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1" o:spid="_x0000_s1027" type="#_x0000_t202" style="position:absolute;left:0;text-align:left;margin-left:69.75pt;margin-top:1pt;width:134.9pt;height:13.7pt;z-index:12582938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" filled="f" stroked="f">
                <v:textbox inset="0,0,0,0">
                  <w:txbxContent>
                    <w:p w:rsidR="00AF3FB4" w:rsidRDefault="006415ED">
                      <w:pPr>
                        <w:pStyle w:val="Zkladntext1"/>
                        <w:shd w:val="clear" w:color="auto" w:fill="auto"/>
                        <w:spacing w:after="0" w:line="240" w:lineRule="auto"/>
                      </w:pPr>
                      <w:r>
                        <w:t xml:space="preserve"> (objednatel)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jednatel (dodavatel)</w:t>
      </w:r>
    </w:p>
    <w:p w:rsidR="00AF3FB4" w:rsidRDefault="006415ED">
      <w:pPr>
        <w:pStyle w:val="Nadpis20"/>
        <w:keepNext/>
        <w:keepLines/>
        <w:shd w:val="clear" w:color="auto" w:fill="auto"/>
      </w:pPr>
      <w:bookmarkStart w:id="26" w:name="bookmark25"/>
      <w:bookmarkStart w:id="27" w:name="bookmark26"/>
      <w:r>
        <w:lastRenderedPageBreak/>
        <w:t>TECHNICKÁ SPECIFIKACE LICENCÍ CISCO WEBEX</w:t>
      </w:r>
      <w:bookmarkEnd w:id="26"/>
      <w:bookmarkEnd w:id="27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0"/>
        <w:gridCol w:w="4478"/>
        <w:gridCol w:w="1651"/>
        <w:gridCol w:w="1771"/>
        <w:gridCol w:w="1258"/>
        <w:gridCol w:w="1766"/>
        <w:gridCol w:w="1440"/>
        <w:gridCol w:w="1440"/>
        <w:gridCol w:w="1464"/>
      </w:tblGrid>
      <w:tr w:rsidR="00AF3FB4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</w:tcBorders>
            <w:shd w:val="clear" w:color="auto" w:fill="D0CECF"/>
            <w:vAlign w:val="bottom"/>
          </w:tcPr>
          <w:p w:rsidR="00AF3FB4" w:rsidRDefault="006415ED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Označení produktu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</w:tcBorders>
            <w:shd w:val="clear" w:color="auto" w:fill="D0CECF"/>
            <w:vAlign w:val="bottom"/>
          </w:tcPr>
          <w:p w:rsidR="00AF3FB4" w:rsidRDefault="006415ED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Popis vlastností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D0CECF"/>
            <w:vAlign w:val="bottom"/>
          </w:tcPr>
          <w:p w:rsidR="00AF3FB4" w:rsidRDefault="006415ED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rPr>
                <w:b/>
                <w:bCs/>
              </w:rPr>
              <w:t>Počet jednotek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D0CECF"/>
          </w:tcPr>
          <w:p w:rsidR="00AF3FB4" w:rsidRDefault="006415ED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Cena 1 jednotky bez DPH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D0CECF"/>
          </w:tcPr>
          <w:p w:rsidR="00AF3FB4" w:rsidRDefault="006415ED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Sazba DPH</w:t>
            </w:r>
          </w:p>
          <w:p w:rsidR="00AF3FB4" w:rsidRDefault="006415ED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rPr>
                <w:b/>
                <w:bCs/>
              </w:rPr>
              <w:t>%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D0CECF"/>
          </w:tcPr>
          <w:p w:rsidR="00AF3FB4" w:rsidRDefault="006415ED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Cena 1 jednotky s DPH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D0CECF"/>
          </w:tcPr>
          <w:p w:rsidR="00AF3FB4" w:rsidRDefault="006415ED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Cena celkem bez DPH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D0CECF"/>
            <w:vAlign w:val="bottom"/>
          </w:tcPr>
          <w:p w:rsidR="00AF3FB4" w:rsidRDefault="006415ED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rPr>
                <w:b/>
                <w:bCs/>
              </w:rPr>
              <w:t>DPH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F"/>
          </w:tcPr>
          <w:p w:rsidR="00AF3FB4" w:rsidRDefault="006415ED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Cena celkem s DPH</w:t>
            </w:r>
          </w:p>
        </w:tc>
      </w:tr>
      <w:tr w:rsidR="00AF3FB4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3FB4" w:rsidRDefault="006415ED">
            <w:pPr>
              <w:pStyle w:val="Jin0"/>
              <w:shd w:val="clear" w:color="auto" w:fill="auto"/>
              <w:spacing w:after="0" w:line="240" w:lineRule="auto"/>
            </w:pPr>
            <w:r>
              <w:t>A-FLEX-3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3FB4" w:rsidRDefault="006415ED">
            <w:pPr>
              <w:pStyle w:val="Jin0"/>
              <w:shd w:val="clear" w:color="auto" w:fill="auto"/>
              <w:spacing w:after="0" w:line="240" w:lineRule="auto"/>
            </w:pPr>
            <w:proofErr w:type="spellStart"/>
            <w:r>
              <w:t>Collaboration</w:t>
            </w:r>
            <w:proofErr w:type="spellEnd"/>
            <w:r>
              <w:t xml:space="preserve"> </w:t>
            </w:r>
            <w:proofErr w:type="spellStart"/>
            <w:r>
              <w:t>Flex</w:t>
            </w:r>
            <w:proofErr w:type="spellEnd"/>
            <w:r>
              <w:t xml:space="preserve"> </w:t>
            </w:r>
            <w:proofErr w:type="spellStart"/>
            <w:r>
              <w:t>Plan</w:t>
            </w:r>
            <w:proofErr w:type="spellEnd"/>
            <w:r>
              <w:t xml:space="preserve"> 3.0 (licence)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3FB4" w:rsidRDefault="006415ED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1,00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3FB4" w:rsidRDefault="006415ED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1,00 Kč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3FB4" w:rsidRDefault="006415ED">
            <w:pPr>
              <w:pStyle w:val="Jin0"/>
              <w:shd w:val="clear" w:color="auto" w:fill="auto"/>
              <w:spacing w:after="0" w:line="240" w:lineRule="auto"/>
              <w:ind w:firstLine="420"/>
              <w:jc w:val="both"/>
            </w:pPr>
            <w:r>
              <w:t>21,00 Kč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3FB4" w:rsidRDefault="006415ED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1,21 Kč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3FB4" w:rsidRDefault="006415ED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1,00 Kč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3FB4" w:rsidRDefault="006415ED">
            <w:pPr>
              <w:pStyle w:val="Jin0"/>
              <w:shd w:val="clear" w:color="auto" w:fill="auto"/>
              <w:spacing w:after="0" w:line="240" w:lineRule="auto"/>
              <w:ind w:firstLine="700"/>
              <w:jc w:val="both"/>
            </w:pPr>
            <w:r>
              <w:t>0,21 Kč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3FB4" w:rsidRDefault="006415ED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1,21 Kč</w:t>
            </w:r>
          </w:p>
        </w:tc>
      </w:tr>
      <w:tr w:rsidR="00AF3FB4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3FB4" w:rsidRDefault="006415ED">
            <w:pPr>
              <w:pStyle w:val="Jin0"/>
              <w:shd w:val="clear" w:color="auto" w:fill="auto"/>
              <w:spacing w:after="0" w:line="240" w:lineRule="auto"/>
            </w:pPr>
            <w:r>
              <w:t>A-FLEX-C-DEV-ENT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3FB4" w:rsidRDefault="006415ED">
            <w:pPr>
              <w:pStyle w:val="Jin0"/>
              <w:shd w:val="clear" w:color="auto" w:fill="auto"/>
              <w:spacing w:after="0" w:line="240" w:lineRule="auto"/>
            </w:pPr>
            <w:r>
              <w:t xml:space="preserve">Oprávnění pro registrace </w:t>
            </w:r>
            <w:proofErr w:type="spellStart"/>
            <w:r>
              <w:t>cloudového</w:t>
            </w:r>
            <w:proofErr w:type="spellEnd"/>
            <w:r>
              <w:t xml:space="preserve"> zařízení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3FB4" w:rsidRDefault="006415ED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40,00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3FB4" w:rsidRDefault="006415ED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1,00 Kč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3FB4" w:rsidRDefault="006415ED">
            <w:pPr>
              <w:pStyle w:val="Jin0"/>
              <w:shd w:val="clear" w:color="auto" w:fill="auto"/>
              <w:spacing w:after="0" w:line="240" w:lineRule="auto"/>
              <w:ind w:firstLine="420"/>
              <w:jc w:val="both"/>
            </w:pPr>
            <w:r>
              <w:t>21,00 Kč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3FB4" w:rsidRDefault="006415ED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1,21 Kč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3FB4" w:rsidRDefault="006415ED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40,00 Kč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3FB4" w:rsidRDefault="006415ED">
            <w:pPr>
              <w:pStyle w:val="Jin0"/>
              <w:shd w:val="clear" w:color="auto" w:fill="auto"/>
              <w:spacing w:after="0" w:line="240" w:lineRule="auto"/>
              <w:ind w:firstLine="700"/>
              <w:jc w:val="both"/>
            </w:pPr>
            <w:r>
              <w:t>8,40 Kč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3FB4" w:rsidRDefault="006415ED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48,40 Kč</w:t>
            </w:r>
          </w:p>
        </w:tc>
      </w:tr>
      <w:tr w:rsidR="00AF3FB4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3FB4" w:rsidRDefault="006415ED">
            <w:pPr>
              <w:pStyle w:val="Jin0"/>
              <w:shd w:val="clear" w:color="auto" w:fill="auto"/>
              <w:spacing w:after="0" w:line="240" w:lineRule="auto"/>
            </w:pPr>
            <w:r>
              <w:t>A-FLEX-MSUITE-ENT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3FB4" w:rsidRDefault="006415ED">
            <w:pPr>
              <w:pStyle w:val="Jin0"/>
              <w:shd w:val="clear" w:color="auto" w:fill="auto"/>
              <w:spacing w:after="0" w:line="240" w:lineRule="auto"/>
            </w:pPr>
            <w:r>
              <w:t xml:space="preserve">Oprávnění pro </w:t>
            </w:r>
            <w:proofErr w:type="spellStart"/>
            <w:r>
              <w:t>cloud</w:t>
            </w:r>
            <w:proofErr w:type="spellEnd"/>
            <w:r>
              <w:t xml:space="preserve"> </w:t>
            </w:r>
            <w:proofErr w:type="spellStart"/>
            <w:r>
              <w:t>meetings</w:t>
            </w:r>
            <w:proofErr w:type="spellEnd"/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3FB4" w:rsidRDefault="006415ED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40,00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3FB4" w:rsidRDefault="006415ED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1,00 Kč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3FB4" w:rsidRDefault="006415ED">
            <w:pPr>
              <w:pStyle w:val="Jin0"/>
              <w:shd w:val="clear" w:color="auto" w:fill="auto"/>
              <w:spacing w:after="0" w:line="240" w:lineRule="auto"/>
              <w:ind w:firstLine="420"/>
              <w:jc w:val="both"/>
            </w:pPr>
            <w:r>
              <w:t>21,00 Kč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3FB4" w:rsidRDefault="006415ED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1,21 Kč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3FB4" w:rsidRDefault="006415ED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40,00 Kč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3FB4" w:rsidRDefault="006415ED">
            <w:pPr>
              <w:pStyle w:val="Jin0"/>
              <w:shd w:val="clear" w:color="auto" w:fill="auto"/>
              <w:spacing w:after="0" w:line="240" w:lineRule="auto"/>
              <w:ind w:firstLine="700"/>
              <w:jc w:val="both"/>
            </w:pPr>
            <w:r>
              <w:t>8,40 Kč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3FB4" w:rsidRDefault="006415ED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48,40 Kč</w:t>
            </w:r>
          </w:p>
        </w:tc>
      </w:tr>
      <w:tr w:rsidR="00AF3FB4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3FB4" w:rsidRDefault="006415ED">
            <w:pPr>
              <w:pStyle w:val="Jin0"/>
              <w:shd w:val="clear" w:color="auto" w:fill="auto"/>
              <w:spacing w:after="0" w:line="240" w:lineRule="auto"/>
            </w:pPr>
            <w:r>
              <w:t>A-FLEX-NBR-STG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3FB4" w:rsidRDefault="006415ED">
            <w:pPr>
              <w:pStyle w:val="Jin0"/>
              <w:shd w:val="clear" w:color="auto" w:fill="auto"/>
              <w:spacing w:after="0" w:line="240" w:lineRule="auto"/>
            </w:pPr>
            <w:r>
              <w:t xml:space="preserve">Oprávnění k úložišti záznamů </w:t>
            </w:r>
            <w:proofErr w:type="spellStart"/>
            <w:r>
              <w:t>Webex</w:t>
            </w:r>
            <w:proofErr w:type="spellEnd"/>
            <w:r>
              <w:t xml:space="preserve"> </w:t>
            </w:r>
            <w:proofErr w:type="spellStart"/>
            <w:r>
              <w:t>cloud</w:t>
            </w:r>
            <w:proofErr w:type="spellEnd"/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3FB4" w:rsidRDefault="006415ED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200,00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3FB4" w:rsidRDefault="006415ED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1,00 Kč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3FB4" w:rsidRDefault="006415ED">
            <w:pPr>
              <w:pStyle w:val="Jin0"/>
              <w:shd w:val="clear" w:color="auto" w:fill="auto"/>
              <w:spacing w:after="0" w:line="240" w:lineRule="auto"/>
              <w:ind w:firstLine="420"/>
              <w:jc w:val="both"/>
            </w:pPr>
            <w:r>
              <w:t>21,00 Kč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3FB4" w:rsidRDefault="006415ED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1,21 Kč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3FB4" w:rsidRDefault="006415ED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200,00 Kč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3FB4" w:rsidRDefault="006415ED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42,00 Kč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3FB4" w:rsidRDefault="006415ED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242,00 Kč</w:t>
            </w:r>
          </w:p>
        </w:tc>
      </w:tr>
      <w:tr w:rsidR="00AF3FB4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3FB4" w:rsidRDefault="006415ED">
            <w:pPr>
              <w:pStyle w:val="Jin0"/>
              <w:shd w:val="clear" w:color="auto" w:fill="auto"/>
              <w:spacing w:after="0" w:line="240" w:lineRule="auto"/>
            </w:pPr>
            <w:r>
              <w:t>A-FLEX-MSG-ENT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3FB4" w:rsidRDefault="006415ED">
            <w:pPr>
              <w:pStyle w:val="Jin0"/>
              <w:shd w:val="clear" w:color="auto" w:fill="auto"/>
              <w:spacing w:after="0" w:line="240" w:lineRule="auto"/>
            </w:pPr>
            <w:r>
              <w:t>Oprávnění pro zasílání zpráv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3FB4" w:rsidRDefault="006415ED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40,00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3FB4" w:rsidRDefault="006415ED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1,00 Kč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3FB4" w:rsidRDefault="006415ED">
            <w:pPr>
              <w:pStyle w:val="Jin0"/>
              <w:shd w:val="clear" w:color="auto" w:fill="auto"/>
              <w:spacing w:after="0" w:line="240" w:lineRule="auto"/>
              <w:ind w:firstLine="420"/>
              <w:jc w:val="both"/>
            </w:pPr>
            <w:r>
              <w:t>21,00 Kč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3FB4" w:rsidRDefault="006415ED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1,21 Kč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3FB4" w:rsidRDefault="006415ED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40,00 Kč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3FB4" w:rsidRDefault="006415ED">
            <w:pPr>
              <w:pStyle w:val="Jin0"/>
              <w:shd w:val="clear" w:color="auto" w:fill="auto"/>
              <w:spacing w:after="0" w:line="240" w:lineRule="auto"/>
              <w:ind w:firstLine="700"/>
              <w:jc w:val="both"/>
            </w:pPr>
            <w:r>
              <w:t>8,40 Kč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3FB4" w:rsidRDefault="006415ED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48,40 Kč</w:t>
            </w:r>
          </w:p>
        </w:tc>
      </w:tr>
      <w:tr w:rsidR="00AF3FB4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3FB4" w:rsidRDefault="006415ED">
            <w:pPr>
              <w:pStyle w:val="Jin0"/>
              <w:shd w:val="clear" w:color="auto" w:fill="auto"/>
              <w:spacing w:after="0" w:line="240" w:lineRule="auto"/>
            </w:pPr>
            <w:r>
              <w:t>A-FLEX-FILESTG-ENT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3FB4" w:rsidRDefault="006415ED">
            <w:pPr>
              <w:pStyle w:val="Jin0"/>
              <w:shd w:val="clear" w:color="auto" w:fill="auto"/>
              <w:spacing w:after="0" w:line="240" w:lineRule="auto"/>
            </w:pPr>
            <w:r>
              <w:t>Oprávnění k ukládání souborů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3FB4" w:rsidRDefault="006415ED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960,00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3FB4" w:rsidRDefault="006415ED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1,00 Kč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3FB4" w:rsidRDefault="006415ED">
            <w:pPr>
              <w:pStyle w:val="Jin0"/>
              <w:shd w:val="clear" w:color="auto" w:fill="auto"/>
              <w:spacing w:after="0" w:line="240" w:lineRule="auto"/>
              <w:ind w:firstLine="420"/>
              <w:jc w:val="both"/>
            </w:pPr>
            <w:r>
              <w:t>21,00 Kč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3FB4" w:rsidRDefault="006415ED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1,21 Kč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3FB4" w:rsidRDefault="006415ED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960,00 Kč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3FB4" w:rsidRDefault="006415ED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201,60 Kč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3FB4" w:rsidRDefault="006415ED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1 161,60 Kč</w:t>
            </w:r>
          </w:p>
        </w:tc>
      </w:tr>
      <w:tr w:rsidR="00AF3FB4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3FB4" w:rsidRDefault="006415ED">
            <w:pPr>
              <w:pStyle w:val="Jin0"/>
              <w:shd w:val="clear" w:color="auto" w:fill="auto"/>
              <w:spacing w:after="0" w:line="240" w:lineRule="auto"/>
            </w:pPr>
            <w:r>
              <w:t>A-FLEX-PROPACK-ENT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3FB4" w:rsidRDefault="006415ED">
            <w:pPr>
              <w:pStyle w:val="Jin0"/>
              <w:shd w:val="clear" w:color="auto" w:fill="auto"/>
              <w:spacing w:after="0" w:line="240" w:lineRule="auto"/>
            </w:pPr>
            <w:r>
              <w:t xml:space="preserve">Oprávnění Pro </w:t>
            </w:r>
            <w:proofErr w:type="spellStart"/>
            <w:r>
              <w:t>Pack</w:t>
            </w:r>
            <w:proofErr w:type="spellEnd"/>
            <w:r>
              <w:t xml:space="preserve"> pro Cisco </w:t>
            </w:r>
            <w:proofErr w:type="spellStart"/>
            <w:r>
              <w:t>Control</w:t>
            </w:r>
            <w:proofErr w:type="spellEnd"/>
            <w:r>
              <w:t xml:space="preserve"> Hub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3FB4" w:rsidRDefault="006415ED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40,00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3FB4" w:rsidRDefault="006415ED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1,00 Kč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3FB4" w:rsidRDefault="006415ED">
            <w:pPr>
              <w:pStyle w:val="Jin0"/>
              <w:shd w:val="clear" w:color="auto" w:fill="auto"/>
              <w:spacing w:after="0" w:line="240" w:lineRule="auto"/>
              <w:ind w:firstLine="420"/>
              <w:jc w:val="both"/>
            </w:pPr>
            <w:r>
              <w:t>21,00 Kč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3FB4" w:rsidRDefault="006415ED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1,21 Kč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3FB4" w:rsidRDefault="006415ED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40,00 Kč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3FB4" w:rsidRDefault="006415ED">
            <w:pPr>
              <w:pStyle w:val="Jin0"/>
              <w:shd w:val="clear" w:color="auto" w:fill="auto"/>
              <w:spacing w:after="0" w:line="240" w:lineRule="auto"/>
              <w:ind w:firstLine="700"/>
              <w:jc w:val="both"/>
            </w:pPr>
            <w:r>
              <w:t>8,40 Kč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3FB4" w:rsidRDefault="006415ED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48,40 Kč</w:t>
            </w:r>
          </w:p>
        </w:tc>
      </w:tr>
      <w:tr w:rsidR="00AF3FB4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3FB4" w:rsidRDefault="006415ED">
            <w:pPr>
              <w:pStyle w:val="Jin0"/>
              <w:shd w:val="clear" w:color="auto" w:fill="auto"/>
              <w:spacing w:after="0" w:line="240" w:lineRule="auto"/>
            </w:pPr>
            <w:r>
              <w:t>A-FLEX-AUM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3FB4" w:rsidRDefault="006415ED">
            <w:pPr>
              <w:pStyle w:val="Jin0"/>
              <w:shd w:val="clear" w:color="auto" w:fill="auto"/>
              <w:spacing w:after="0" w:line="240" w:lineRule="auto"/>
            </w:pPr>
            <w:r>
              <w:t xml:space="preserve">AU </w:t>
            </w:r>
            <w:proofErr w:type="spellStart"/>
            <w:r>
              <w:t>Meetings</w:t>
            </w:r>
            <w:proofErr w:type="spellEnd"/>
            <w:r>
              <w:t xml:space="preserve"> (1)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3FB4" w:rsidRDefault="006415ED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40,00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3FB4" w:rsidRDefault="006415ED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4 280,00 Kč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3FB4" w:rsidRDefault="006415ED">
            <w:pPr>
              <w:pStyle w:val="Jin0"/>
              <w:shd w:val="clear" w:color="auto" w:fill="auto"/>
              <w:spacing w:after="0" w:line="240" w:lineRule="auto"/>
              <w:ind w:firstLine="420"/>
              <w:jc w:val="both"/>
            </w:pPr>
            <w:r>
              <w:t>21,00 Kč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3FB4" w:rsidRDefault="006415ED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5 178,80 Kč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3FB4" w:rsidRDefault="006415ED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171 200,00 Kč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3FB4" w:rsidRDefault="006415ED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35 952,00 Kč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3FB4" w:rsidRDefault="006415ED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 xml:space="preserve">207 152,00 </w:t>
            </w:r>
            <w:r>
              <w:t>Kč</w:t>
            </w:r>
          </w:p>
        </w:tc>
      </w:tr>
      <w:tr w:rsidR="00AF3FB4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3FB4" w:rsidRDefault="006415ED">
            <w:pPr>
              <w:pStyle w:val="Jin0"/>
              <w:shd w:val="clear" w:color="auto" w:fill="auto"/>
              <w:spacing w:after="0" w:line="240" w:lineRule="auto"/>
            </w:pPr>
            <w:r>
              <w:t>A-AUD-VOIP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3FB4" w:rsidRDefault="006415ED">
            <w:pPr>
              <w:pStyle w:val="Jin0"/>
              <w:shd w:val="clear" w:color="auto" w:fill="auto"/>
              <w:spacing w:after="0" w:line="240" w:lineRule="auto"/>
            </w:pPr>
            <w:r>
              <w:t xml:space="preserve">Zahrnuté </w:t>
            </w:r>
            <w:proofErr w:type="spellStart"/>
            <w:r>
              <w:t>VoIP</w:t>
            </w:r>
            <w:proofErr w:type="spellEnd"/>
            <w:r>
              <w:t xml:space="preserve"> (volání přes </w:t>
            </w:r>
            <w:proofErr w:type="gramStart"/>
            <w:r>
              <w:t>internet) (1)</w:t>
            </w:r>
            <w:proofErr w:type="gramEnd"/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3FB4" w:rsidRDefault="006415ED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1,00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3FB4" w:rsidRDefault="006415ED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1,00 Kč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3FB4" w:rsidRDefault="006415ED">
            <w:pPr>
              <w:pStyle w:val="Jin0"/>
              <w:shd w:val="clear" w:color="auto" w:fill="auto"/>
              <w:spacing w:after="0" w:line="240" w:lineRule="auto"/>
              <w:ind w:firstLine="420"/>
              <w:jc w:val="both"/>
            </w:pPr>
            <w:r>
              <w:t>21,00 Kč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3FB4" w:rsidRDefault="006415ED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1,21 Kč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3FB4" w:rsidRDefault="006415ED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1,00 Kč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3FB4" w:rsidRDefault="006415ED">
            <w:pPr>
              <w:pStyle w:val="Jin0"/>
              <w:shd w:val="clear" w:color="auto" w:fill="auto"/>
              <w:spacing w:after="0" w:line="240" w:lineRule="auto"/>
              <w:ind w:firstLine="700"/>
              <w:jc w:val="both"/>
            </w:pPr>
            <w:r>
              <w:t>0,21 Kč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3FB4" w:rsidRDefault="006415ED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1,21 Kč</w:t>
            </w:r>
          </w:p>
        </w:tc>
      </w:tr>
      <w:tr w:rsidR="00AF3FB4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3FB4" w:rsidRDefault="006415ED">
            <w:pPr>
              <w:pStyle w:val="Jin0"/>
              <w:shd w:val="clear" w:color="auto" w:fill="auto"/>
              <w:spacing w:after="0" w:line="240" w:lineRule="auto"/>
            </w:pPr>
            <w:r>
              <w:t>A-AUD-EDGEAUD-USER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3FB4" w:rsidRDefault="006415ED">
            <w:pPr>
              <w:pStyle w:val="Jin0"/>
              <w:shd w:val="clear" w:color="auto" w:fill="auto"/>
              <w:spacing w:after="0" w:line="240" w:lineRule="auto"/>
            </w:pPr>
            <w:proofErr w:type="spellStart"/>
            <w:r>
              <w:t>Webex</w:t>
            </w:r>
            <w:proofErr w:type="spellEnd"/>
            <w:r>
              <w:t xml:space="preserve"> </w:t>
            </w:r>
            <w:proofErr w:type="spellStart"/>
            <w:r>
              <w:t>Edge</w:t>
            </w:r>
            <w:proofErr w:type="spellEnd"/>
            <w:r>
              <w:t xml:space="preserve"> Audio (1)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3FB4" w:rsidRDefault="006415ED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40,00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3FB4" w:rsidRDefault="006415ED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1,00 Kč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3FB4" w:rsidRDefault="006415ED">
            <w:pPr>
              <w:pStyle w:val="Jin0"/>
              <w:shd w:val="clear" w:color="auto" w:fill="auto"/>
              <w:spacing w:after="0" w:line="240" w:lineRule="auto"/>
              <w:ind w:firstLine="420"/>
              <w:jc w:val="both"/>
            </w:pPr>
            <w:r>
              <w:t>21,00 Kč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3FB4" w:rsidRDefault="006415ED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1,21 Kč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3FB4" w:rsidRDefault="006415ED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40,00 Kč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3FB4" w:rsidRDefault="006415ED">
            <w:pPr>
              <w:pStyle w:val="Jin0"/>
              <w:shd w:val="clear" w:color="auto" w:fill="auto"/>
              <w:spacing w:after="0" w:line="240" w:lineRule="auto"/>
              <w:ind w:firstLine="700"/>
              <w:jc w:val="both"/>
            </w:pPr>
            <w:r>
              <w:t>8,40 Kč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3FB4" w:rsidRDefault="006415ED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48,40 Kč</w:t>
            </w:r>
          </w:p>
        </w:tc>
      </w:tr>
      <w:tr w:rsidR="00AF3FB4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3FB4" w:rsidRDefault="006415ED">
            <w:pPr>
              <w:pStyle w:val="Jin0"/>
              <w:shd w:val="clear" w:color="auto" w:fill="auto"/>
              <w:spacing w:after="0" w:line="240" w:lineRule="auto"/>
            </w:pPr>
            <w:r>
              <w:t>A-AUD-TOLLDIALIN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3FB4" w:rsidRDefault="006415ED">
            <w:pPr>
              <w:pStyle w:val="Jin0"/>
              <w:shd w:val="clear" w:color="auto" w:fill="auto"/>
              <w:spacing w:after="0" w:line="240" w:lineRule="auto"/>
            </w:pPr>
            <w:proofErr w:type="spellStart"/>
            <w:r>
              <w:t>Meetings</w:t>
            </w:r>
            <w:proofErr w:type="spellEnd"/>
            <w:r>
              <w:t xml:space="preserve"> </w:t>
            </w:r>
            <w:proofErr w:type="spellStart"/>
            <w:r>
              <w:t>Toll</w:t>
            </w:r>
            <w:proofErr w:type="spellEnd"/>
            <w:r>
              <w:t xml:space="preserve"> </w:t>
            </w:r>
            <w:proofErr w:type="spellStart"/>
            <w:r>
              <w:t>Dial</w:t>
            </w:r>
            <w:proofErr w:type="spellEnd"/>
            <w:r>
              <w:t xml:space="preserve">-In Audio </w:t>
            </w:r>
            <w:r>
              <w:t>(1)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3FB4" w:rsidRDefault="006415ED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40,00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3FB4" w:rsidRDefault="006415ED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1,00 Kč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3FB4" w:rsidRDefault="006415ED">
            <w:pPr>
              <w:pStyle w:val="Jin0"/>
              <w:shd w:val="clear" w:color="auto" w:fill="auto"/>
              <w:spacing w:after="0" w:line="240" w:lineRule="auto"/>
              <w:ind w:firstLine="420"/>
              <w:jc w:val="both"/>
            </w:pPr>
            <w:r>
              <w:t>21,00 Kč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3FB4" w:rsidRDefault="006415ED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1,21 Kč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3FB4" w:rsidRDefault="006415ED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40,00 Kč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3FB4" w:rsidRDefault="006415ED">
            <w:pPr>
              <w:pStyle w:val="Jin0"/>
              <w:shd w:val="clear" w:color="auto" w:fill="auto"/>
              <w:spacing w:after="0" w:line="240" w:lineRule="auto"/>
              <w:ind w:firstLine="700"/>
              <w:jc w:val="both"/>
            </w:pPr>
            <w:r>
              <w:t>8,40 Kč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3FB4" w:rsidRDefault="006415ED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48,40 Kč</w:t>
            </w:r>
          </w:p>
        </w:tc>
      </w:tr>
      <w:tr w:rsidR="00AF3FB4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3FB4" w:rsidRDefault="006415ED">
            <w:pPr>
              <w:pStyle w:val="Jin0"/>
              <w:shd w:val="clear" w:color="auto" w:fill="auto"/>
              <w:spacing w:after="0" w:line="240" w:lineRule="auto"/>
            </w:pPr>
            <w:r>
              <w:t>SVS-FLEX-SUPT-BAS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3FB4" w:rsidRDefault="006415ED">
            <w:pPr>
              <w:pStyle w:val="Jin0"/>
              <w:shd w:val="clear" w:color="auto" w:fill="auto"/>
              <w:spacing w:after="0" w:line="240" w:lineRule="auto"/>
            </w:pPr>
            <w:r>
              <w:t xml:space="preserve">Základní podpora pro </w:t>
            </w:r>
            <w:proofErr w:type="spellStart"/>
            <w:r>
              <w:t>Flex</w:t>
            </w:r>
            <w:proofErr w:type="spellEnd"/>
            <w:r>
              <w:t xml:space="preserve"> </w:t>
            </w:r>
            <w:proofErr w:type="spellStart"/>
            <w:r>
              <w:t>Plan</w:t>
            </w:r>
            <w:proofErr w:type="spellEnd"/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3FB4" w:rsidRDefault="006415ED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1,00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3FB4" w:rsidRDefault="006415ED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24,00 Kč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3FB4" w:rsidRDefault="006415ED">
            <w:pPr>
              <w:pStyle w:val="Jin0"/>
              <w:shd w:val="clear" w:color="auto" w:fill="auto"/>
              <w:spacing w:after="0" w:line="240" w:lineRule="auto"/>
              <w:ind w:firstLine="420"/>
              <w:jc w:val="both"/>
            </w:pPr>
            <w:r>
              <w:t>21,00 Kč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3FB4" w:rsidRDefault="006415ED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29,04 Kč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3FB4" w:rsidRDefault="006415ED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24,00 Kč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3FB4" w:rsidRDefault="006415ED">
            <w:pPr>
              <w:pStyle w:val="Jin0"/>
              <w:shd w:val="clear" w:color="auto" w:fill="auto"/>
              <w:spacing w:after="0" w:line="240" w:lineRule="auto"/>
              <w:ind w:firstLine="700"/>
              <w:jc w:val="both"/>
            </w:pPr>
            <w:r>
              <w:t>5,04 Kč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3FB4" w:rsidRDefault="006415ED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29,04 Kč</w:t>
            </w:r>
          </w:p>
        </w:tc>
      </w:tr>
      <w:tr w:rsidR="00AF3FB4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</w:tcBorders>
            <w:shd w:val="clear" w:color="auto" w:fill="D0CECF"/>
            <w:vAlign w:val="bottom"/>
          </w:tcPr>
          <w:p w:rsidR="00AF3FB4" w:rsidRDefault="006415ED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Technická podpora licencí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</w:tcBorders>
            <w:shd w:val="clear" w:color="auto" w:fill="D0CECF"/>
          </w:tcPr>
          <w:p w:rsidR="00AF3FB4" w:rsidRDefault="00AF3FB4">
            <w:pPr>
              <w:rPr>
                <w:sz w:val="10"/>
                <w:szCs w:val="10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D0CECF"/>
          </w:tcPr>
          <w:p w:rsidR="00AF3FB4" w:rsidRDefault="00AF3FB4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D0CECF"/>
          </w:tcPr>
          <w:p w:rsidR="00AF3FB4" w:rsidRDefault="00AF3FB4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D0CECF"/>
          </w:tcPr>
          <w:p w:rsidR="00AF3FB4" w:rsidRDefault="00AF3FB4">
            <w:pPr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D0CECF"/>
          </w:tcPr>
          <w:p w:rsidR="00AF3FB4" w:rsidRDefault="00AF3FB4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D0CECF"/>
          </w:tcPr>
          <w:p w:rsidR="00AF3FB4" w:rsidRDefault="00AF3FB4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D0CECF"/>
          </w:tcPr>
          <w:p w:rsidR="00AF3FB4" w:rsidRDefault="00AF3FB4">
            <w:pPr>
              <w:rPr>
                <w:sz w:val="10"/>
                <w:szCs w:val="1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F"/>
          </w:tcPr>
          <w:p w:rsidR="00AF3FB4" w:rsidRDefault="00AF3FB4">
            <w:pPr>
              <w:rPr>
                <w:sz w:val="10"/>
                <w:szCs w:val="10"/>
              </w:rPr>
            </w:pPr>
          </w:p>
        </w:tc>
      </w:tr>
      <w:tr w:rsidR="00AF3FB4">
        <w:tblPrEx>
          <w:tblCellMar>
            <w:top w:w="0" w:type="dxa"/>
            <w:bottom w:w="0" w:type="dxa"/>
          </w:tblCellMar>
        </w:tblPrEx>
        <w:trPr>
          <w:trHeight w:hRule="exact" w:val="1253"/>
          <w:jc w:val="center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3FB4" w:rsidRDefault="006415ED">
            <w:pPr>
              <w:pStyle w:val="Jin0"/>
              <w:shd w:val="clear" w:color="auto" w:fill="auto"/>
              <w:spacing w:after="0" w:line="262" w:lineRule="auto"/>
            </w:pPr>
            <w:r>
              <w:t xml:space="preserve">Hardware Part #: A-FLEX-AUM DDSP-UPTS- </w:t>
            </w:r>
            <w:proofErr w:type="spellStart"/>
            <w:r>
              <w:t>TechnicalIncidentManagement</w:t>
            </w:r>
            <w:proofErr w:type="spellEnd"/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FB4" w:rsidRDefault="006415ED">
            <w:pPr>
              <w:pStyle w:val="Jin0"/>
              <w:shd w:val="clear" w:color="auto" w:fill="auto"/>
              <w:spacing w:after="240" w:line="266" w:lineRule="auto"/>
            </w:pPr>
            <w:r>
              <w:t>Řízení technických incidentů</w:t>
            </w:r>
          </w:p>
          <w:p w:rsidR="00AF3FB4" w:rsidRDefault="006415ED">
            <w:pPr>
              <w:pStyle w:val="Jin0"/>
              <w:shd w:val="clear" w:color="auto" w:fill="auto"/>
              <w:spacing w:after="0" w:line="266" w:lineRule="auto"/>
            </w:pPr>
            <w:r>
              <w:rPr>
                <w:i/>
                <w:iCs/>
              </w:rPr>
              <w:t>Délka trvání technické podpory: 1 rok Podpora pokrývá 40 licencí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3FB4" w:rsidRDefault="006415ED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40,00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3FB4" w:rsidRDefault="006415ED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1,00 Kč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3FB4" w:rsidRDefault="006415ED">
            <w:pPr>
              <w:pStyle w:val="Jin0"/>
              <w:shd w:val="clear" w:color="auto" w:fill="auto"/>
              <w:spacing w:after="0" w:line="240" w:lineRule="auto"/>
              <w:ind w:firstLine="420"/>
              <w:jc w:val="both"/>
            </w:pPr>
            <w:r>
              <w:t>21,00 Kč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3FB4" w:rsidRDefault="006415ED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1,21 Kč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3FB4" w:rsidRDefault="006415ED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40,00 Kč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3FB4" w:rsidRDefault="006415ED">
            <w:pPr>
              <w:pStyle w:val="Jin0"/>
              <w:shd w:val="clear" w:color="auto" w:fill="auto"/>
              <w:spacing w:after="0" w:line="240" w:lineRule="auto"/>
              <w:ind w:firstLine="700"/>
              <w:jc w:val="both"/>
            </w:pPr>
            <w:r>
              <w:t>8,40 Kč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FB4" w:rsidRDefault="006415ED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48,40 Kč</w:t>
            </w:r>
          </w:p>
        </w:tc>
      </w:tr>
      <w:tr w:rsidR="00AF3FB4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3FB4" w:rsidRDefault="006415ED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Celkem licence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FB4" w:rsidRDefault="00AF3FB4">
            <w:pPr>
              <w:rPr>
                <w:sz w:val="10"/>
                <w:szCs w:val="10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FB4" w:rsidRDefault="00AF3FB4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FB4" w:rsidRDefault="00AF3FB4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FB4" w:rsidRDefault="00AF3FB4">
            <w:pPr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FB4" w:rsidRDefault="00AF3FB4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3FB4" w:rsidRDefault="006415ED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172 626,00 Kč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3FB4" w:rsidRDefault="006415ED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36 251,46 Kč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3FB4" w:rsidRDefault="006415ED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208 877,46 Kč</w:t>
            </w:r>
          </w:p>
        </w:tc>
      </w:tr>
      <w:tr w:rsidR="00AF3FB4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3FB4" w:rsidRDefault="006415ED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Celkem podpora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FB4" w:rsidRDefault="00AF3FB4">
            <w:pPr>
              <w:rPr>
                <w:sz w:val="10"/>
                <w:szCs w:val="10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FB4" w:rsidRDefault="00AF3FB4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FB4" w:rsidRDefault="00AF3FB4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FB4" w:rsidRDefault="00AF3FB4">
            <w:pPr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FB4" w:rsidRDefault="00AF3FB4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3FB4" w:rsidRDefault="006415ED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40,00 Kč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3FB4" w:rsidRDefault="006415ED">
            <w:pPr>
              <w:pStyle w:val="Jin0"/>
              <w:shd w:val="clear" w:color="auto" w:fill="auto"/>
              <w:spacing w:after="0" w:line="240" w:lineRule="auto"/>
              <w:ind w:firstLine="700"/>
              <w:jc w:val="both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8,40 Kč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3FB4" w:rsidRDefault="006415ED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48,40 Kč</w:t>
            </w:r>
          </w:p>
        </w:tc>
      </w:tr>
      <w:tr w:rsidR="00AF3FB4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0CECF"/>
          </w:tcPr>
          <w:p w:rsidR="00AF3FB4" w:rsidRDefault="006415ED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  <w:color w:val="FF0000"/>
              </w:rPr>
              <w:t>CELKEM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0CECF"/>
          </w:tcPr>
          <w:p w:rsidR="00AF3FB4" w:rsidRDefault="00AF3FB4">
            <w:pPr>
              <w:rPr>
                <w:sz w:val="10"/>
                <w:szCs w:val="10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0CECF"/>
          </w:tcPr>
          <w:p w:rsidR="00AF3FB4" w:rsidRDefault="00AF3FB4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0CECF"/>
          </w:tcPr>
          <w:p w:rsidR="00AF3FB4" w:rsidRDefault="00AF3FB4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0CECF"/>
          </w:tcPr>
          <w:p w:rsidR="00AF3FB4" w:rsidRDefault="00AF3FB4">
            <w:pPr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0CECF"/>
          </w:tcPr>
          <w:p w:rsidR="00AF3FB4" w:rsidRDefault="00AF3FB4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0CECF"/>
          </w:tcPr>
          <w:p w:rsidR="00AF3FB4" w:rsidRDefault="006415ED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FF0000"/>
                <w:sz w:val="22"/>
                <w:szCs w:val="22"/>
              </w:rPr>
              <w:t>172 666,00 Kč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0CECF"/>
          </w:tcPr>
          <w:p w:rsidR="00AF3FB4" w:rsidRDefault="006415ED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FF0000"/>
                <w:sz w:val="22"/>
                <w:szCs w:val="22"/>
              </w:rPr>
              <w:t>36 259,86 Kč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F"/>
          </w:tcPr>
          <w:p w:rsidR="00AF3FB4" w:rsidRDefault="006415ED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FF0000"/>
                <w:sz w:val="22"/>
                <w:szCs w:val="22"/>
              </w:rPr>
              <w:t>208 925,86 Kč</w:t>
            </w:r>
          </w:p>
        </w:tc>
      </w:tr>
    </w:tbl>
    <w:p w:rsidR="006415ED" w:rsidRDefault="006415ED"/>
    <w:sectPr w:rsidR="006415ED">
      <w:footerReference w:type="default" r:id="rId12"/>
      <w:pgSz w:w="21312" w:h="15067" w:orient="landscape"/>
      <w:pgMar w:top="1632" w:right="1420" w:bottom="1632" w:left="1262" w:header="1204" w:footer="120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15ED" w:rsidRDefault="006415ED">
      <w:r>
        <w:separator/>
      </w:r>
    </w:p>
  </w:endnote>
  <w:endnote w:type="continuationSeparator" w:id="0">
    <w:p w:rsidR="006415ED" w:rsidRDefault="00641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FB4" w:rsidRDefault="006415ED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3" behindDoc="1" locked="0" layoutInCell="1" allowOverlap="1">
              <wp:simplePos x="0" y="0"/>
              <wp:positionH relativeFrom="page">
                <wp:posOffset>3685540</wp:posOffset>
              </wp:positionH>
              <wp:positionV relativeFrom="page">
                <wp:posOffset>9991090</wp:posOffset>
              </wp:positionV>
              <wp:extent cx="222250" cy="109855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2250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F3FB4" w:rsidRDefault="006415ED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5121B7" w:rsidRPr="005121B7">
                            <w:rPr>
                              <w:rFonts w:ascii="Arial" w:eastAsia="Arial" w:hAnsi="Arial" w:cs="Arial"/>
                              <w:noProof/>
                              <w:sz w:val="18"/>
                              <w:szCs w:val="18"/>
                            </w:rPr>
                            <w:t>4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 xml:space="preserve"> | 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9" o:spid="_x0000_s1028" type="#_x0000_t202" style="position:absolute;margin-left:290.2pt;margin-top:786.7pt;width:17.5pt;height:8.65pt;z-index:-440401787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" filled="f" stroked="f">
              <v:textbox style="mso-fit-shape-to-text:t" inset="0,0,0,0">
                <w:txbxContent>
                  <w:p w:rsidR="00AF3FB4" w:rsidRDefault="006415ED">
                    <w:pPr>
                      <w:pStyle w:val="Zhlavnebozpat20"/>
                      <w:shd w:val="clear" w:color="auto" w:fill="auto"/>
                      <w:rPr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5121B7" w:rsidRPr="005121B7">
                      <w:rPr>
                        <w:rFonts w:ascii="Arial" w:eastAsia="Arial" w:hAnsi="Arial" w:cs="Arial"/>
                        <w:noProof/>
                        <w:sz w:val="18"/>
                        <w:szCs w:val="18"/>
                      </w:rPr>
                      <w:t>4</w: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 xml:space="preserve"> |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FB4" w:rsidRDefault="00AF3FB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15ED" w:rsidRDefault="006415ED"/>
  </w:footnote>
  <w:footnote w:type="continuationSeparator" w:id="0">
    <w:p w:rsidR="006415ED" w:rsidRDefault="006415E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527C6"/>
    <w:multiLevelType w:val="multilevel"/>
    <w:tmpl w:val="247294DA"/>
    <w:lvl w:ilvl="0">
      <w:start w:val="1"/>
      <w:numFmt w:val="decimal"/>
      <w:lvlText w:val="2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AD50116"/>
    <w:multiLevelType w:val="multilevel"/>
    <w:tmpl w:val="98F22132"/>
    <w:lvl w:ilvl="0">
      <w:start w:val="3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FB4"/>
    <w:rsid w:val="005121B7"/>
    <w:rsid w:val="006415ED"/>
    <w:rsid w:val="00AF3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792307-D335-4A61-AD6A-621784663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color w:val="006B4D"/>
      <w:sz w:val="14"/>
      <w:szCs w:val="1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6B4D"/>
      <w:sz w:val="16"/>
      <w:szCs w:val="16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6B4D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326" w:lineRule="auto"/>
    </w:pPr>
    <w:rPr>
      <w:rFonts w:ascii="Arial" w:eastAsia="Arial" w:hAnsi="Arial" w:cs="Arial"/>
      <w:b/>
      <w:bCs/>
      <w:color w:val="006B4D"/>
      <w:sz w:val="14"/>
      <w:szCs w:val="14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35" w:lineRule="auto"/>
      <w:jc w:val="right"/>
    </w:pPr>
    <w:rPr>
      <w:rFonts w:ascii="Calibri" w:eastAsia="Calibri" w:hAnsi="Calibri" w:cs="Calibri"/>
      <w:color w:val="006B4D"/>
      <w:sz w:val="16"/>
      <w:szCs w:val="16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Calibri" w:eastAsia="Calibri" w:hAnsi="Calibri" w:cs="Calibri"/>
      <w:color w:val="006B4D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20" w:line="271" w:lineRule="auto"/>
    </w:pPr>
    <w:rPr>
      <w:rFonts w:ascii="Arial" w:eastAsia="Arial" w:hAnsi="Arial" w:cs="Arial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40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360"/>
      <w:jc w:val="center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00"/>
      <w:jc w:val="center"/>
      <w:outlineLvl w:val="1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20" w:line="271" w:lineRule="auto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opkcr@nature.cz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1324</Words>
  <Characters>7818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Miloš Nagy</dc:creator>
  <cp:keywords/>
  <cp:lastModifiedBy>Lenka Jobová</cp:lastModifiedBy>
  <cp:revision>2</cp:revision>
  <dcterms:created xsi:type="dcterms:W3CDTF">2021-11-24T15:21:00Z</dcterms:created>
  <dcterms:modified xsi:type="dcterms:W3CDTF">2021-11-24T15:21:00Z</dcterms:modified>
</cp:coreProperties>
</file>