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pgSz w:w="11900" w:h="16840"/>
          <w:pgMar w:top="649" w:right="597" w:bottom="828" w:left="939" w:header="0" w:footer="3" w:gutter="0"/>
          <w:pgNumType w:start="1"/>
          <w:cols w:space="720"/>
          <w:noEndnote/>
          <w:rtlGutter w:val="0"/>
          <w:docGrid w:linePitch="360"/>
        </w:sectPr>
      </w:pPr>
    </w:p>
    <w:tbl>
      <w:tblPr>
        <w:tblOverlap w:val="never"/>
        <w:jc w:val="left"/>
        <w:tblLayout w:type="fixed"/>
      </w:tblPr>
      <w:tblGrid>
        <w:gridCol w:w="2448"/>
        <w:gridCol w:w="4320"/>
      </w:tblGrid>
      <w:tr>
        <w:trPr>
          <w:trHeight w:val="384"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Na straně druhé:</w:t>
            </w:r>
          </w:p>
        </w:tc>
        <w:tc>
          <w:tcPr>
            <w:tcBorders/>
            <w:shd w:val="clear" w:color="auto" w:fill="auto"/>
            <w:vAlign w:val="bottom"/>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240" w:right="0" w:firstLine="20"/>
              <w:jc w:val="left"/>
              <w:rPr>
                <w:sz w:val="15"/>
                <w:szCs w:val="15"/>
              </w:rPr>
            </w:pPr>
            <w:r>
              <w:rPr>
                <w:rStyle w:val="CharStyle3"/>
                <w:b/>
                <w:bCs/>
                <w:i/>
                <w:iCs/>
                <w:sz w:val="15"/>
                <w:szCs w:val="15"/>
              </w:rPr>
              <w:t>Zdravotnická záchranná služba Jihomoravského kraje, příspěvková organizace</w:t>
            </w:r>
          </w:p>
        </w:tc>
      </w:tr>
      <w:tr>
        <w:trPr>
          <w:trHeight w:val="350"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Sídlo:</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Kamenice 798/1 d</w:t>
            </w:r>
          </w:p>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625 00 Brno</w:t>
            </w:r>
          </w:p>
        </w:tc>
      </w:tr>
      <w:tr>
        <w:trPr>
          <w:trHeight w:val="182" w:hRule="exact"/>
        </w:trPr>
        <w:tc>
          <w:tcPr>
            <w:tcBorders/>
            <w:shd w:val="clear" w:color="auto" w:fill="auto"/>
            <w:vAlign w:val="bottom"/>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Zastoupená:</w:t>
            </w:r>
          </w:p>
        </w:tc>
        <w:tc>
          <w:tcPr>
            <w:tcBorders/>
            <w:shd w:val="clear" w:color="auto" w:fill="auto"/>
            <w:vAlign w:val="bottom"/>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MUDr. Albrechtová Hana, ředitelka</w:t>
            </w:r>
          </w:p>
        </w:tc>
      </w:tr>
      <w:tr>
        <w:trPr>
          <w:trHeight w:val="173"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IČO:</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00346292</w:t>
            </w:r>
          </w:p>
        </w:tc>
      </w:tr>
      <w:tr>
        <w:trPr>
          <w:trHeight w:val="178"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DIČ:</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CZ00346292</w:t>
            </w:r>
          </w:p>
        </w:tc>
      </w:tr>
      <w:tr>
        <w:trPr>
          <w:trHeight w:val="485"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Zapsaná v obchodním rejstříku: (dále jen „kupující“)</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Vedeném krajským soudem v Brně pod sp. zn. Pr 1245</w:t>
            </w:r>
          </w:p>
        </w:tc>
      </w:tr>
      <w:tr>
        <w:trPr>
          <w:trHeight w:val="293" w:hRule="exact"/>
        </w:trPr>
        <w:tc>
          <w:tcPr>
            <w:tcBorders/>
            <w:shd w:val="clear" w:color="auto" w:fill="auto"/>
            <w:vAlign w:val="bottom"/>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Na straně jedné:</w:t>
            </w:r>
          </w:p>
        </w:tc>
        <w:tc>
          <w:tcPr>
            <w:tcBorders/>
            <w:shd w:val="clear" w:color="auto" w:fill="auto"/>
            <w:vAlign w:val="bottom"/>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b/>
                <w:bCs/>
                <w:sz w:val="15"/>
                <w:szCs w:val="15"/>
              </w:rPr>
              <w:t>Lindě Gas a.s. č.sml.655/2018/TP/VH/570259230</w:t>
            </w:r>
          </w:p>
        </w:tc>
      </w:tr>
      <w:tr>
        <w:trPr>
          <w:trHeight w:val="187"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Sídlo:</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U Technoplynu 1324, 198 00 Praha 9 - Kyje</w:t>
            </w:r>
          </w:p>
        </w:tc>
      </w:tr>
      <w:tr>
        <w:trPr>
          <w:trHeight w:val="173"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Zastoupená:</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Bc. Petr Štolcar a Lenka Nesvadbová</w:t>
            </w:r>
          </w:p>
        </w:tc>
      </w:tr>
      <w:tr>
        <w:trPr>
          <w:trHeight w:val="173"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IČO:</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00011754</w:t>
            </w:r>
          </w:p>
        </w:tc>
      </w:tr>
      <w:tr>
        <w:trPr>
          <w:trHeight w:val="182"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DIČ:</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CZ00011754</w:t>
            </w:r>
          </w:p>
        </w:tc>
      </w:tr>
      <w:tr>
        <w:trPr>
          <w:trHeight w:val="379" w:hRule="exact"/>
        </w:trPr>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0"/>
              <w:jc w:val="left"/>
              <w:rPr>
                <w:sz w:val="15"/>
                <w:szCs w:val="15"/>
              </w:rPr>
            </w:pPr>
            <w:r>
              <w:rPr>
                <w:rStyle w:val="CharStyle3"/>
                <w:sz w:val="15"/>
                <w:szCs w:val="15"/>
              </w:rPr>
              <w:t>Zapsaná v obchodním rejstříku (dále jen „prodávající“)</w:t>
            </w:r>
          </w:p>
        </w:tc>
        <w:tc>
          <w:tcPr>
            <w:tcBorders/>
            <w:shd w:val="clear" w:color="auto" w:fill="auto"/>
            <w:vAlign w:val="top"/>
          </w:tcPr>
          <w:p>
            <w:pPr>
              <w:pStyle w:val="Style2"/>
              <w:keepNext w:val="0"/>
              <w:keepLines w:val="0"/>
              <w:framePr w:w="6768" w:h="3139" w:hSpace="48" w:vSpace="422" w:wrap="none" w:vAnchor="text" w:hAnchor="page" w:x="1094" w:y="443"/>
              <w:widowControl w:val="0"/>
              <w:shd w:val="clear" w:color="auto" w:fill="auto"/>
              <w:bidi w:val="0"/>
              <w:spacing w:before="0" w:after="0" w:line="240" w:lineRule="auto"/>
              <w:ind w:left="0" w:right="0" w:firstLine="240"/>
              <w:jc w:val="left"/>
              <w:rPr>
                <w:sz w:val="15"/>
                <w:szCs w:val="15"/>
              </w:rPr>
            </w:pPr>
            <w:r>
              <w:rPr>
                <w:rStyle w:val="CharStyle3"/>
                <w:sz w:val="15"/>
                <w:szCs w:val="15"/>
              </w:rPr>
              <w:t>vedeném Městským soudem v Praze pod sp. zn. B 411</w:t>
            </w:r>
          </w:p>
        </w:tc>
      </w:tr>
    </w:tbl>
    <w:p>
      <w:pPr>
        <w:framePr w:w="6768" w:h="3139" w:hSpace="48" w:vSpace="422" w:wrap="none" w:vAnchor="text" w:hAnchor="page" w:x="1094" w:y="443"/>
        <w:widowControl w:val="0"/>
        <w:spacing w:line="1" w:lineRule="exact"/>
      </w:pPr>
    </w:p>
    <w:p>
      <w:pPr>
        <w:pStyle w:val="Style7"/>
        <w:keepNext w:val="0"/>
        <w:keepLines w:val="0"/>
        <w:framePr w:w="4939" w:h="230" w:wrap="none" w:vAnchor="text" w:hAnchor="page" w:x="1046" w:y="21"/>
        <w:widowControl w:val="0"/>
        <w:shd w:val="clear" w:color="auto" w:fill="auto"/>
        <w:bidi w:val="0"/>
        <w:spacing w:before="0" w:after="0" w:line="240" w:lineRule="auto"/>
        <w:ind w:left="0" w:right="0" w:firstLine="0"/>
        <w:jc w:val="left"/>
      </w:pPr>
      <w:r>
        <w:rPr>
          <w:rStyle w:val="CharStyle8"/>
        </w:rPr>
        <w:t>Níže uvedeného dne, měsíce a roku uzavřely smluvní strany („Strany“):</w:t>
      </w:r>
    </w:p>
    <w:p>
      <w:pPr>
        <w:pStyle w:val="Style9"/>
        <w:keepNext w:val="0"/>
        <w:keepLines w:val="0"/>
        <w:framePr w:w="1234" w:h="226" w:wrap="none" w:vAnchor="text" w:hAnchor="page" w:x="9695" w:y="462"/>
        <w:widowControl w:val="0"/>
        <w:shd w:val="clear" w:color="auto" w:fill="auto"/>
        <w:bidi w:val="0"/>
        <w:spacing w:before="0" w:after="0" w:line="240" w:lineRule="auto"/>
        <w:ind w:left="0" w:right="0" w:firstLine="0"/>
        <w:jc w:val="right"/>
      </w:pPr>
      <w:r>
        <w:rPr>
          <w:rStyle w:val="CharStyle10"/>
          <w:b/>
          <w:bCs/>
          <w:color w:val="555C6B"/>
        </w:rPr>
        <w:t>Číslo zákazníka:</w:t>
      </w:r>
    </w:p>
    <w:p>
      <w:pPr>
        <w:pStyle w:val="Style9"/>
        <w:keepNext w:val="0"/>
        <w:keepLines w:val="0"/>
        <w:framePr w:w="821" w:h="197" w:wrap="none" w:vAnchor="text" w:hAnchor="page" w:x="9902" w:y="817"/>
        <w:widowControl w:val="0"/>
        <w:shd w:val="clear" w:color="auto" w:fill="auto"/>
        <w:bidi w:val="0"/>
        <w:spacing w:before="0" w:after="0" w:line="240" w:lineRule="auto"/>
        <w:ind w:left="0" w:right="0" w:firstLine="0"/>
        <w:jc w:val="both"/>
      </w:pPr>
      <w:r>
        <w:rPr>
          <w:rStyle w:val="CharStyle10"/>
          <w:b/>
          <w:bCs/>
        </w:rPr>
        <w:t>570259230</w:t>
      </w:r>
    </w:p>
    <w:p>
      <w:pPr>
        <w:pStyle w:val="Style13"/>
        <w:keepNext/>
        <w:keepLines/>
        <w:framePr w:w="2410" w:h="648" w:wrap="none" w:vAnchor="text" w:hAnchor="page" w:x="8798" w:y="1326"/>
        <w:widowControl w:val="0"/>
        <w:shd w:val="clear" w:color="auto" w:fill="auto"/>
        <w:bidi w:val="0"/>
        <w:spacing w:before="0" w:after="0" w:line="240" w:lineRule="auto"/>
        <w:ind w:left="0" w:right="0" w:firstLine="0"/>
        <w:jc w:val="right"/>
      </w:pPr>
      <w:bookmarkStart w:id="0" w:name="bookmark0"/>
      <w:r>
        <w:rPr>
          <w:rStyle w:val="CharStyle14"/>
        </w:rPr>
        <w:t>llllllllllllllllllllllll</w:t>
      </w:r>
      <w:bookmarkEnd w:id="0"/>
    </w:p>
    <w:p>
      <w:pPr>
        <w:pStyle w:val="Style9"/>
        <w:keepNext w:val="0"/>
        <w:keepLines w:val="0"/>
        <w:framePr w:w="931" w:h="202" w:wrap="none" w:vAnchor="text" w:hAnchor="page" w:x="9100" w:y="2070"/>
        <w:widowControl w:val="0"/>
        <w:shd w:val="clear" w:color="auto" w:fill="auto"/>
        <w:bidi w:val="0"/>
        <w:spacing w:before="0" w:after="0" w:line="240" w:lineRule="auto"/>
        <w:ind w:left="0" w:right="0" w:firstLine="0"/>
        <w:jc w:val="left"/>
      </w:pPr>
      <w:r>
        <w:rPr>
          <w:rStyle w:val="CharStyle10"/>
        </w:rPr>
        <w:t>2021007606</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1" w:line="1" w:lineRule="exact"/>
      </w:pPr>
    </w:p>
    <w:p>
      <w:pPr>
        <w:widowControl w:val="0"/>
        <w:spacing w:line="1" w:lineRule="exact"/>
        <w:sectPr>
          <w:footnotePr>
            <w:pos w:val="pageBottom"/>
            <w:numFmt w:val="decimal"/>
            <w:numRestart w:val="continuous"/>
          </w:footnotePr>
          <w:type w:val="continuous"/>
          <w:pgSz w:w="11900" w:h="16840"/>
          <w:pgMar w:top="649" w:right="597" w:bottom="828" w:left="939" w:header="221" w:footer="400" w:gutter="0"/>
          <w:cols w:space="720"/>
          <w:noEndnote/>
          <w:rtlGutter w:val="0"/>
          <w:docGrid w:linePitch="360"/>
        </w:sectPr>
      </w:pPr>
    </w:p>
    <w:p>
      <w:pPr>
        <w:widowControl w:val="0"/>
        <w:spacing w:line="79" w:lineRule="exact"/>
        <w:rPr>
          <w:sz w:val="6"/>
          <w:szCs w:val="6"/>
        </w:rPr>
      </w:pPr>
    </w:p>
    <w:p>
      <w:pPr>
        <w:widowControl w:val="0"/>
        <w:spacing w:line="1" w:lineRule="exact"/>
        <w:sectPr>
          <w:footnotePr>
            <w:pos w:val="pageBottom"/>
            <w:numFmt w:val="decimal"/>
            <w:numRestart w:val="continuous"/>
          </w:footnotePr>
          <w:type w:val="continuous"/>
          <w:pgSz w:w="11900" w:h="16840"/>
          <w:pgMar w:top="1460" w:right="0" w:bottom="828" w:left="0" w:header="0" w:footer="3" w:gutter="0"/>
          <w:cols w:space="720"/>
          <w:noEndnote/>
          <w:rtlGutter w:val="0"/>
          <w:docGrid w:linePitch="360"/>
        </w:sectPr>
      </w:pPr>
    </w:p>
    <w:p>
      <w:pPr>
        <w:widowControl w:val="0"/>
        <w:spacing w:line="1" w:lineRule="exact"/>
      </w:pPr>
      <w:r>
        <mc:AlternateContent>
          <mc:Choice Requires="wps">
            <w:drawing>
              <wp:anchor distT="85090" distB="326390" distL="114300" distR="5866130" simplePos="0" relativeHeight="125829378" behindDoc="0" locked="0" layoutInCell="1" allowOverlap="1">
                <wp:simplePos x="0" y="0"/>
                <wp:positionH relativeFrom="page">
                  <wp:posOffset>596265</wp:posOffset>
                </wp:positionH>
                <wp:positionV relativeFrom="paragraph">
                  <wp:posOffset>5940425</wp:posOffset>
                </wp:positionV>
                <wp:extent cx="420370" cy="179705"/>
                <wp:wrapTopAndBottom/>
                <wp:docPr id="1" name="Shape 1"/>
                <a:graphic xmlns:a="http://schemas.openxmlformats.org/drawingml/2006/main">
                  <a:graphicData uri="http://schemas.microsoft.com/office/word/2010/wordprocessingShape">
                    <wps:wsp>
                      <wps:cNvSpPr txBox="1"/>
                      <wps:spPr>
                        <a:xfrm>
                          <a:ext cx="420370" cy="1797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Style w:val="CharStyle16"/>
                              </w:rPr>
                              <w:t>Lenka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6.950000000000003pt;margin-top:467.75pt;width:33.100000000000001pt;height:14.15pt;z-index:-125829375;mso-wrap-distance-left:9.pt;mso-wrap-distance-top:6.7000000000000002pt;mso-wrap-distance-right:461.90000000000003pt;mso-wrap-distance-bottom:25.69999999999999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rStyle w:val="CharStyle16"/>
                        </w:rPr>
                        <w:t>Lenka</w:t>
                      </w:r>
                    </w:p>
                  </w:txbxContent>
                </v:textbox>
                <w10:wrap type="topAndBottom" anchorx="page"/>
              </v:shape>
            </w:pict>
          </mc:Fallback>
        </mc:AlternateContent>
      </w:r>
      <w:r>
        <mc:AlternateContent>
          <mc:Choice Requires="wps">
            <w:drawing>
              <wp:anchor distT="18415" distB="316865" distL="986155" distR="4552315" simplePos="0" relativeHeight="125829380" behindDoc="0" locked="0" layoutInCell="1" allowOverlap="1">
                <wp:simplePos x="0" y="0"/>
                <wp:positionH relativeFrom="page">
                  <wp:posOffset>1468120</wp:posOffset>
                </wp:positionH>
                <wp:positionV relativeFrom="paragraph">
                  <wp:posOffset>5873750</wp:posOffset>
                </wp:positionV>
                <wp:extent cx="862330" cy="255905"/>
                <wp:wrapTopAndBottom/>
                <wp:docPr id="3" name="Shape 3"/>
                <a:graphic xmlns:a="http://schemas.openxmlformats.org/drawingml/2006/main">
                  <a:graphicData uri="http://schemas.microsoft.com/office/word/2010/wordprocessingShape">
                    <wps:wsp>
                      <wps:cNvSpPr txBox="1"/>
                      <wps:spPr>
                        <a:xfrm>
                          <a:ext cx="862330" cy="255905"/>
                        </a:xfrm>
                        <a:prstGeom prst="rect"/>
                        <a:noFill/>
                      </wps:spPr>
                      <wps:txbx>
                        <w:txbxContent>
                          <w:p>
                            <w:pPr>
                              <w:pStyle w:val="Style9"/>
                              <w:keepNext w:val="0"/>
                              <w:keepLines w:val="0"/>
                              <w:widowControl w:val="0"/>
                              <w:shd w:val="clear" w:color="auto" w:fill="auto"/>
                              <w:bidi w:val="0"/>
                              <w:spacing w:before="0" w:after="0" w:line="295" w:lineRule="auto"/>
                              <w:ind w:left="0" w:right="0" w:firstLine="0"/>
                              <w:jc w:val="left"/>
                            </w:pPr>
                            <w:r>
                              <w:rPr>
                                <w:rStyle w:val="CharStyle10"/>
                              </w:rPr>
                              <w:t>Digitálně podepsal Lenka Nesvadbová</w:t>
                            </w:r>
                          </w:p>
                        </w:txbxContent>
                      </wps:txbx>
                      <wps:bodyPr lIns="0" tIns="0" rIns="0" bIns="0">
                        <a:noAutoFit/>
                      </wps:bodyPr>
                    </wps:wsp>
                  </a:graphicData>
                </a:graphic>
              </wp:anchor>
            </w:drawing>
          </mc:Choice>
          <mc:Fallback>
            <w:pict>
              <v:shape id="_x0000_s1029" type="#_x0000_t202" style="position:absolute;margin-left:115.60000000000001pt;margin-top:462.5pt;width:67.900000000000006pt;height:20.150000000000002pt;z-index:-125829373;mso-wrap-distance-left:77.650000000000006pt;mso-wrap-distance-top:1.45pt;mso-wrap-distance-right:358.44999999999999pt;mso-wrap-distance-bottom:24.949999999999999pt;mso-position-horizontal-relative:page" filled="f" stroked="f">
                <v:textbox inset="0,0,0,0">
                  <w:txbxContent>
                    <w:p>
                      <w:pPr>
                        <w:pStyle w:val="Style9"/>
                        <w:keepNext w:val="0"/>
                        <w:keepLines w:val="0"/>
                        <w:widowControl w:val="0"/>
                        <w:shd w:val="clear" w:color="auto" w:fill="auto"/>
                        <w:bidi w:val="0"/>
                        <w:spacing w:before="0" w:after="0" w:line="295" w:lineRule="auto"/>
                        <w:ind w:left="0" w:right="0" w:firstLine="0"/>
                        <w:jc w:val="left"/>
                      </w:pPr>
                      <w:r>
                        <w:rPr>
                          <w:rStyle w:val="CharStyle10"/>
                        </w:rPr>
                        <w:t>Digitálně podepsal Lenka Nesvadbová</w:t>
                      </w:r>
                    </w:p>
                  </w:txbxContent>
                </v:textbox>
                <w10:wrap type="topAndBottom" anchorx="page"/>
              </v:shape>
            </w:pict>
          </mc:Fallback>
        </mc:AlternateContent>
      </w:r>
      <w:r>
        <mc:AlternateContent>
          <mc:Choice Requires="wps">
            <w:drawing>
              <wp:anchor distT="277495" distB="66675" distL="114300" distR="4555490" simplePos="0" relativeHeight="125829382" behindDoc="0" locked="0" layoutInCell="1" allowOverlap="1">
                <wp:simplePos x="0" y="0"/>
                <wp:positionH relativeFrom="page">
                  <wp:posOffset>596265</wp:posOffset>
                </wp:positionH>
                <wp:positionV relativeFrom="paragraph">
                  <wp:posOffset>6132830</wp:posOffset>
                </wp:positionV>
                <wp:extent cx="1731010" cy="247015"/>
                <wp:wrapTopAndBottom/>
                <wp:docPr id="5" name="Shape 5"/>
                <a:graphic xmlns:a="http://schemas.openxmlformats.org/drawingml/2006/main">
                  <a:graphicData uri="http://schemas.microsoft.com/office/word/2010/wordprocessingShape">
                    <wps:wsp>
                      <wps:cNvSpPr txBox="1"/>
                      <wps:spPr>
                        <a:xfrm>
                          <a:ext cx="1731010" cy="247015"/>
                        </a:xfrm>
                        <a:prstGeom prst="rect"/>
                        <a:noFill/>
                      </wps:spPr>
                      <wps:txbx>
                        <w:txbxContent>
                          <w:p>
                            <w:pPr>
                              <w:pStyle w:val="Style9"/>
                              <w:keepNext w:val="0"/>
                              <w:keepLines w:val="0"/>
                              <w:widowControl w:val="0"/>
                              <w:shd w:val="clear" w:color="auto" w:fill="auto"/>
                              <w:bidi w:val="0"/>
                              <w:spacing w:before="0" w:after="0" w:line="190" w:lineRule="auto"/>
                              <w:ind w:left="1380" w:right="0" w:hanging="1380"/>
                              <w:jc w:val="left"/>
                            </w:pPr>
                            <w:r>
                              <w:rPr>
                                <w:rStyle w:val="CharStyle10"/>
                                <w:sz w:val="22"/>
                                <w:szCs w:val="22"/>
                              </w:rPr>
                              <w:t xml:space="preserve">Nesvadbová </w:t>
                            </w:r>
                            <w:r>
                              <w:rPr>
                                <w:rStyle w:val="CharStyle10"/>
                              </w:rPr>
                              <w:t>Datu™ 2021.11.16 07:57:14+01'00'</w:t>
                            </w:r>
                          </w:p>
                        </w:txbxContent>
                      </wps:txbx>
                      <wps:bodyPr lIns="0" tIns="0" rIns="0" bIns="0">
                        <a:noAutoFit/>
                      </wps:bodyPr>
                    </wps:wsp>
                  </a:graphicData>
                </a:graphic>
              </wp:anchor>
            </w:drawing>
          </mc:Choice>
          <mc:Fallback>
            <w:pict>
              <v:shape id="_x0000_s1031" type="#_x0000_t202" style="position:absolute;margin-left:46.950000000000003pt;margin-top:482.90000000000003pt;width:136.30000000000001pt;height:19.449999999999999pt;z-index:-125829371;mso-wrap-distance-left:9.pt;mso-wrap-distance-top:21.850000000000001pt;mso-wrap-distance-right:358.69999999999999pt;mso-wrap-distance-bottom:5.25pt;mso-position-horizontal-relative:page" filled="f" stroked="f">
                <v:textbox inset="0,0,0,0">
                  <w:txbxContent>
                    <w:p>
                      <w:pPr>
                        <w:pStyle w:val="Style9"/>
                        <w:keepNext w:val="0"/>
                        <w:keepLines w:val="0"/>
                        <w:widowControl w:val="0"/>
                        <w:shd w:val="clear" w:color="auto" w:fill="auto"/>
                        <w:bidi w:val="0"/>
                        <w:spacing w:before="0" w:after="0" w:line="190" w:lineRule="auto"/>
                        <w:ind w:left="1380" w:right="0" w:hanging="1380"/>
                        <w:jc w:val="left"/>
                      </w:pPr>
                      <w:r>
                        <w:rPr>
                          <w:rStyle w:val="CharStyle10"/>
                          <w:sz w:val="22"/>
                          <w:szCs w:val="22"/>
                        </w:rPr>
                        <w:t xml:space="preserve">Nesvadbová </w:t>
                      </w:r>
                      <w:r>
                        <w:rPr>
                          <w:rStyle w:val="CharStyle10"/>
                        </w:rPr>
                        <w:t>Datu™ 2021.11.16 07:57:14+01'00'</w:t>
                      </w:r>
                    </w:p>
                  </w:txbxContent>
                </v:textbox>
                <w10:wrap type="topAndBottom" anchorx="page"/>
              </v:shape>
            </w:pict>
          </mc:Fallback>
        </mc:AlternateContent>
      </w:r>
      <w:r>
        <mc:AlternateContent>
          <mc:Choice Requires="wps">
            <w:drawing>
              <wp:anchor distT="0" distB="0" distL="1976755" distR="3220085" simplePos="0" relativeHeight="125829384" behindDoc="0" locked="0" layoutInCell="1" allowOverlap="1">
                <wp:simplePos x="0" y="0"/>
                <wp:positionH relativeFrom="page">
                  <wp:posOffset>2458720</wp:posOffset>
                </wp:positionH>
                <wp:positionV relativeFrom="paragraph">
                  <wp:posOffset>5855335</wp:posOffset>
                </wp:positionV>
                <wp:extent cx="1203960" cy="591185"/>
                <wp:wrapTopAndBottom/>
                <wp:docPr id="7" name="Shape 7"/>
                <a:graphic xmlns:a="http://schemas.openxmlformats.org/drawingml/2006/main">
                  <a:graphicData uri="http://schemas.microsoft.com/office/word/2010/wordprocessingShape">
                    <wps:wsp>
                      <wps:cNvSpPr txBox="1"/>
                      <wps:spPr>
                        <a:xfrm>
                          <a:ext cx="1203960" cy="591185"/>
                        </a:xfrm>
                        <a:prstGeom prst="rect"/>
                        <a:noFill/>
                      </wps:spPr>
                      <wps:txbx>
                        <w:txbxContent>
                          <w:p>
                            <w:pPr>
                              <w:pStyle w:val="Style18"/>
                              <w:keepNext w:val="0"/>
                              <w:keepLines w:val="0"/>
                              <w:widowControl w:val="0"/>
                              <w:shd w:val="clear" w:color="auto" w:fill="auto"/>
                              <w:bidi w:val="0"/>
                              <w:spacing w:before="0" w:after="0" w:line="240" w:lineRule="auto"/>
                              <w:ind w:left="0" w:right="0" w:firstLine="980"/>
                              <w:jc w:val="left"/>
                            </w:pPr>
                            <w:r>
                              <w:rPr>
                                <w:rStyle w:val="CharStyle19"/>
                              </w:rPr>
                              <w:t>Digitálně</w:t>
                            </w:r>
                          </w:p>
                          <w:p>
                            <w:pPr>
                              <w:pStyle w:val="Style18"/>
                              <w:keepNext w:val="0"/>
                              <w:keepLines w:val="0"/>
                              <w:widowControl w:val="0"/>
                              <w:shd w:val="clear" w:color="auto" w:fill="auto"/>
                              <w:tabs>
                                <w:tab w:pos="922" w:val="left"/>
                              </w:tabs>
                              <w:bidi w:val="0"/>
                              <w:spacing w:before="0" w:after="0" w:line="180" w:lineRule="auto"/>
                              <w:ind w:left="0" w:right="0" w:firstLine="0"/>
                              <w:jc w:val="left"/>
                            </w:pPr>
                            <w:r>
                              <w:rPr>
                                <w:rStyle w:val="CharStyle19"/>
                                <w:sz w:val="24"/>
                                <w:szCs w:val="24"/>
                              </w:rPr>
                              <w:t>P O f” f</w:t>
                              <w:tab/>
                            </w:r>
                            <w:r>
                              <w:rPr>
                                <w:rStyle w:val="CharStyle19"/>
                              </w:rPr>
                              <w:t>podepsal Petr</w:t>
                            </w:r>
                          </w:p>
                          <w:p>
                            <w:pPr>
                              <w:pStyle w:val="Style18"/>
                              <w:keepNext w:val="0"/>
                              <w:keepLines w:val="0"/>
                              <w:widowControl w:val="0"/>
                              <w:shd w:val="clear" w:color="auto" w:fill="auto"/>
                              <w:tabs>
                                <w:tab w:pos="922" w:val="left"/>
                              </w:tabs>
                              <w:bidi w:val="0"/>
                              <w:spacing w:before="0" w:after="0" w:line="240" w:lineRule="auto"/>
                              <w:ind w:left="0" w:right="0" w:firstLine="0"/>
                              <w:jc w:val="left"/>
                            </w:pPr>
                            <w:r>
                              <w:rPr>
                                <w:rStyle w:val="CharStyle19"/>
                                <w:vertAlign w:val="superscript"/>
                              </w:rPr>
                              <w:t>r</w:t>
                            </w:r>
                            <w:r>
                              <w:rPr>
                                <w:rStyle w:val="CharStyle19"/>
                              </w:rPr>
                              <w:tab/>
                              <w:t>štolcar</w:t>
                            </w:r>
                          </w:p>
                          <w:p>
                            <w:pPr>
                              <w:pStyle w:val="Style18"/>
                              <w:keepNext w:val="0"/>
                              <w:keepLines w:val="0"/>
                              <w:widowControl w:val="0"/>
                              <w:shd w:val="clear" w:color="auto" w:fill="auto"/>
                              <w:tabs>
                                <w:tab w:pos="929" w:val="left"/>
                              </w:tabs>
                              <w:bidi w:val="0"/>
                              <w:spacing w:before="0" w:after="0" w:line="240" w:lineRule="auto"/>
                              <w:ind w:left="0" w:right="0" w:firstLine="180"/>
                              <w:jc w:val="left"/>
                            </w:pPr>
                            <w:r>
                              <w:rPr>
                                <w:rStyle w:val="CharStyle19"/>
                              </w:rPr>
                              <w:t>, I</w:t>
                              <w:tab/>
                              <w:t>Datum;</w:t>
                            </w:r>
                          </w:p>
                          <w:p>
                            <w:pPr>
                              <w:pStyle w:val="Style18"/>
                              <w:keepNext w:val="0"/>
                              <w:keepLines w:val="0"/>
                              <w:widowControl w:val="0"/>
                              <w:shd w:val="clear" w:color="auto" w:fill="auto"/>
                              <w:bidi w:val="0"/>
                              <w:spacing w:before="0" w:after="0" w:line="180" w:lineRule="auto"/>
                              <w:ind w:left="0" w:right="0" w:firstLine="0"/>
                              <w:jc w:val="left"/>
                            </w:pPr>
                            <w:r>
                              <w:rPr>
                                <w:rStyle w:val="CharStyle19"/>
                                <w:sz w:val="30"/>
                                <w:szCs w:val="30"/>
                              </w:rPr>
                              <w:t xml:space="preserve">Stol ca r </w:t>
                            </w:r>
                            <w:r>
                              <w:rPr>
                                <w:rStyle w:val="CharStyle19"/>
                              </w:rPr>
                              <w:t>2021 ii i6</w:t>
                            </w:r>
                          </w:p>
                          <w:p>
                            <w:pPr>
                              <w:pStyle w:val="Style18"/>
                              <w:keepNext w:val="0"/>
                              <w:keepLines w:val="0"/>
                              <w:widowControl w:val="0"/>
                              <w:shd w:val="clear" w:color="auto" w:fill="auto"/>
                              <w:bidi w:val="0"/>
                              <w:spacing w:before="0" w:after="0" w:line="240" w:lineRule="auto"/>
                              <w:ind w:left="0" w:right="0" w:firstLine="980"/>
                              <w:jc w:val="left"/>
                            </w:pPr>
                            <w:r>
                              <w:rPr>
                                <w:rStyle w:val="CharStyle19"/>
                              </w:rPr>
                              <w:t>09:53:04+01'00'</w:t>
                            </w:r>
                          </w:p>
                        </w:txbxContent>
                      </wps:txbx>
                      <wps:bodyPr lIns="0" tIns="0" rIns="0" bIns="0">
                        <a:noAutoFit/>
                      </wps:bodyPr>
                    </wps:wsp>
                  </a:graphicData>
                </a:graphic>
              </wp:anchor>
            </w:drawing>
          </mc:Choice>
          <mc:Fallback>
            <w:pict>
              <v:shape id="_x0000_s1033" type="#_x0000_t202" style="position:absolute;margin-left:193.59999999999999pt;margin-top:461.05000000000001pt;width:94.799999999999997pt;height:46.550000000000004pt;z-index:-125829369;mso-wrap-distance-left:155.65000000000001pt;mso-wrap-distance-right:253.55000000000001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980"/>
                        <w:jc w:val="left"/>
                      </w:pPr>
                      <w:r>
                        <w:rPr>
                          <w:rStyle w:val="CharStyle19"/>
                        </w:rPr>
                        <w:t>Digitálně</w:t>
                      </w:r>
                    </w:p>
                    <w:p>
                      <w:pPr>
                        <w:pStyle w:val="Style18"/>
                        <w:keepNext w:val="0"/>
                        <w:keepLines w:val="0"/>
                        <w:widowControl w:val="0"/>
                        <w:shd w:val="clear" w:color="auto" w:fill="auto"/>
                        <w:tabs>
                          <w:tab w:pos="922" w:val="left"/>
                        </w:tabs>
                        <w:bidi w:val="0"/>
                        <w:spacing w:before="0" w:after="0" w:line="180" w:lineRule="auto"/>
                        <w:ind w:left="0" w:right="0" w:firstLine="0"/>
                        <w:jc w:val="left"/>
                      </w:pPr>
                      <w:r>
                        <w:rPr>
                          <w:rStyle w:val="CharStyle19"/>
                          <w:sz w:val="24"/>
                          <w:szCs w:val="24"/>
                        </w:rPr>
                        <w:t>P O f” f</w:t>
                        <w:tab/>
                      </w:r>
                      <w:r>
                        <w:rPr>
                          <w:rStyle w:val="CharStyle19"/>
                        </w:rPr>
                        <w:t>podepsal Petr</w:t>
                      </w:r>
                    </w:p>
                    <w:p>
                      <w:pPr>
                        <w:pStyle w:val="Style18"/>
                        <w:keepNext w:val="0"/>
                        <w:keepLines w:val="0"/>
                        <w:widowControl w:val="0"/>
                        <w:shd w:val="clear" w:color="auto" w:fill="auto"/>
                        <w:tabs>
                          <w:tab w:pos="922" w:val="left"/>
                        </w:tabs>
                        <w:bidi w:val="0"/>
                        <w:spacing w:before="0" w:after="0" w:line="240" w:lineRule="auto"/>
                        <w:ind w:left="0" w:right="0" w:firstLine="0"/>
                        <w:jc w:val="left"/>
                      </w:pPr>
                      <w:r>
                        <w:rPr>
                          <w:rStyle w:val="CharStyle19"/>
                          <w:vertAlign w:val="superscript"/>
                        </w:rPr>
                        <w:t>r</w:t>
                      </w:r>
                      <w:r>
                        <w:rPr>
                          <w:rStyle w:val="CharStyle19"/>
                        </w:rPr>
                        <w:tab/>
                        <w:t>štolcar</w:t>
                      </w:r>
                    </w:p>
                    <w:p>
                      <w:pPr>
                        <w:pStyle w:val="Style18"/>
                        <w:keepNext w:val="0"/>
                        <w:keepLines w:val="0"/>
                        <w:widowControl w:val="0"/>
                        <w:shd w:val="clear" w:color="auto" w:fill="auto"/>
                        <w:tabs>
                          <w:tab w:pos="929" w:val="left"/>
                        </w:tabs>
                        <w:bidi w:val="0"/>
                        <w:spacing w:before="0" w:after="0" w:line="240" w:lineRule="auto"/>
                        <w:ind w:left="0" w:right="0" w:firstLine="180"/>
                        <w:jc w:val="left"/>
                      </w:pPr>
                      <w:r>
                        <w:rPr>
                          <w:rStyle w:val="CharStyle19"/>
                        </w:rPr>
                        <w:t>, I</w:t>
                        <w:tab/>
                        <w:t>Datum;</w:t>
                      </w:r>
                    </w:p>
                    <w:p>
                      <w:pPr>
                        <w:pStyle w:val="Style18"/>
                        <w:keepNext w:val="0"/>
                        <w:keepLines w:val="0"/>
                        <w:widowControl w:val="0"/>
                        <w:shd w:val="clear" w:color="auto" w:fill="auto"/>
                        <w:bidi w:val="0"/>
                        <w:spacing w:before="0" w:after="0" w:line="180" w:lineRule="auto"/>
                        <w:ind w:left="0" w:right="0" w:firstLine="0"/>
                        <w:jc w:val="left"/>
                      </w:pPr>
                      <w:r>
                        <w:rPr>
                          <w:rStyle w:val="CharStyle19"/>
                          <w:sz w:val="30"/>
                          <w:szCs w:val="30"/>
                        </w:rPr>
                        <w:t xml:space="preserve">Stol ca r </w:t>
                      </w:r>
                      <w:r>
                        <w:rPr>
                          <w:rStyle w:val="CharStyle19"/>
                        </w:rPr>
                        <w:t>2021 ii i6</w:t>
                      </w:r>
                    </w:p>
                    <w:p>
                      <w:pPr>
                        <w:pStyle w:val="Style18"/>
                        <w:keepNext w:val="0"/>
                        <w:keepLines w:val="0"/>
                        <w:widowControl w:val="0"/>
                        <w:shd w:val="clear" w:color="auto" w:fill="auto"/>
                        <w:bidi w:val="0"/>
                        <w:spacing w:before="0" w:after="0" w:line="240" w:lineRule="auto"/>
                        <w:ind w:left="0" w:right="0" w:firstLine="980"/>
                        <w:jc w:val="left"/>
                      </w:pPr>
                      <w:r>
                        <w:rPr>
                          <w:rStyle w:val="CharStyle19"/>
                        </w:rPr>
                        <w:t>09:53:04+01'00'</w:t>
                      </w:r>
                    </w:p>
                  </w:txbxContent>
                </v:textbox>
                <w10:wrap type="topAndBottom" anchorx="page"/>
              </v:shape>
            </w:pict>
          </mc:Fallback>
        </mc:AlternateContent>
      </w:r>
      <w:r>
        <mc:AlternateContent>
          <mc:Choice Requires="wps">
            <w:drawing>
              <wp:anchor distT="57785" distB="316865" distL="4308475" distR="1095375" simplePos="0" relativeHeight="125829386" behindDoc="0" locked="0" layoutInCell="1" allowOverlap="1">
                <wp:simplePos x="0" y="0"/>
                <wp:positionH relativeFrom="page">
                  <wp:posOffset>4790440</wp:posOffset>
                </wp:positionH>
                <wp:positionV relativeFrom="paragraph">
                  <wp:posOffset>5913120</wp:posOffset>
                </wp:positionV>
                <wp:extent cx="996950" cy="216535"/>
                <wp:wrapTopAndBottom/>
                <wp:docPr id="9" name="Shape 9"/>
                <a:graphic xmlns:a="http://schemas.openxmlformats.org/drawingml/2006/main">
                  <a:graphicData uri="http://schemas.microsoft.com/office/word/2010/wordprocessingShape">
                    <wps:wsp>
                      <wps:cNvSpPr txBox="1"/>
                      <wps:spPr>
                        <a:xfrm>
                          <a:ext cx="996950" cy="216535"/>
                        </a:xfrm>
                        <a:prstGeom prst="rect"/>
                        <a:noFill/>
                      </wps:spPr>
                      <wps:txbx>
                        <w:txbxContent>
                          <w:p>
                            <w:pPr>
                              <w:pStyle w:val="Style22"/>
                              <w:keepNext/>
                              <w:keepLines/>
                              <w:widowControl w:val="0"/>
                              <w:shd w:val="clear" w:color="auto" w:fill="auto"/>
                              <w:bidi w:val="0"/>
                              <w:spacing w:before="0" w:after="0" w:line="240" w:lineRule="auto"/>
                              <w:ind w:left="0" w:right="0" w:firstLine="0"/>
                              <w:jc w:val="left"/>
                            </w:pPr>
                            <w:bookmarkStart w:id="2" w:name="bookmark2"/>
                            <w:r>
                              <w:rPr>
                                <w:rStyle w:val="CharStyle23"/>
                              </w:rPr>
                              <w:t>MUDr. Hana</w:t>
                            </w:r>
                            <w:bookmarkEnd w:id="2"/>
                          </w:p>
                        </w:txbxContent>
                      </wps:txbx>
                      <wps:bodyPr wrap="none" lIns="0" tIns="0" rIns="0" bIns="0">
                        <a:noAutoFit/>
                      </wps:bodyPr>
                    </wps:wsp>
                  </a:graphicData>
                </a:graphic>
              </wp:anchor>
            </w:drawing>
          </mc:Choice>
          <mc:Fallback>
            <w:pict>
              <v:shape id="_x0000_s1035" type="#_x0000_t202" style="position:absolute;margin-left:377.19999999999999pt;margin-top:465.60000000000002pt;width:78.5pt;height:17.050000000000001pt;z-index:-125829367;mso-wrap-distance-left:339.25pt;mso-wrap-distance-top:4.5499999999999998pt;mso-wrap-distance-right:86.25pt;mso-wrap-distance-bottom:24.949999999999999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left"/>
                      </w:pPr>
                      <w:bookmarkStart w:id="2" w:name="bookmark2"/>
                      <w:r>
                        <w:rPr>
                          <w:rStyle w:val="CharStyle23"/>
                        </w:rPr>
                        <w:t>MUDr. Hana</w:t>
                      </w:r>
                      <w:bookmarkEnd w:id="2"/>
                    </w:p>
                  </w:txbxContent>
                </v:textbox>
                <w10:wrap type="topAndBottom" anchorx="page"/>
              </v:shape>
            </w:pict>
          </mc:Fallback>
        </mc:AlternateContent>
      </w:r>
      <w:r>
        <mc:AlternateContent>
          <mc:Choice Requires="wps">
            <w:drawing>
              <wp:anchor distT="64135" distB="307340" distL="5317490" distR="114300" simplePos="0" relativeHeight="125829388" behindDoc="0" locked="0" layoutInCell="1" allowOverlap="1">
                <wp:simplePos x="0" y="0"/>
                <wp:positionH relativeFrom="page">
                  <wp:posOffset>5799455</wp:posOffset>
                </wp:positionH>
                <wp:positionV relativeFrom="paragraph">
                  <wp:posOffset>5919470</wp:posOffset>
                </wp:positionV>
                <wp:extent cx="969010" cy="219710"/>
                <wp:wrapTopAndBottom/>
                <wp:docPr id="11" name="Shape 11"/>
                <a:graphic xmlns:a="http://schemas.openxmlformats.org/drawingml/2006/main">
                  <a:graphicData uri="http://schemas.microsoft.com/office/word/2010/wordprocessingShape">
                    <wps:wsp>
                      <wps:cNvSpPr txBox="1"/>
                      <wps:spPr>
                        <a:xfrm>
                          <a:ext cx="969010" cy="21971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Digitálně podepsal</w:t>
                            </w:r>
                          </w:p>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MUDr. Hana Albrechtová</w:t>
                            </w:r>
                          </w:p>
                        </w:txbxContent>
                      </wps:txbx>
                      <wps:bodyPr lIns="0" tIns="0" rIns="0" bIns="0">
                        <a:noAutoFit/>
                      </wps:bodyPr>
                    </wps:wsp>
                  </a:graphicData>
                </a:graphic>
              </wp:anchor>
            </w:drawing>
          </mc:Choice>
          <mc:Fallback>
            <w:pict>
              <v:shape id="_x0000_s1037" type="#_x0000_t202" style="position:absolute;margin-left:456.65000000000003pt;margin-top:466.10000000000002pt;width:76.299999999999997pt;height:17.300000000000001pt;z-index:-125829365;mso-wrap-distance-left:418.69999999999999pt;mso-wrap-distance-top:5.0499999999999998pt;mso-wrap-distance-right:9.pt;mso-wrap-distance-bottom:24.199999999999999pt;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Digitálně podepsal</w:t>
                      </w:r>
                    </w:p>
                    <w:p>
                      <w:pPr>
                        <w:pStyle w:val="Style24"/>
                        <w:keepNext w:val="0"/>
                        <w:keepLines w:val="0"/>
                        <w:widowControl w:val="0"/>
                        <w:shd w:val="clear" w:color="auto" w:fill="auto"/>
                        <w:bidi w:val="0"/>
                        <w:spacing w:before="0" w:after="0" w:line="240" w:lineRule="auto"/>
                        <w:ind w:left="0" w:right="0" w:firstLine="0"/>
                        <w:jc w:val="left"/>
                        <w:rPr>
                          <w:sz w:val="13"/>
                          <w:szCs w:val="13"/>
                        </w:rPr>
                      </w:pPr>
                      <w:r>
                        <w:rPr>
                          <w:rStyle w:val="CharStyle25"/>
                          <w:sz w:val="13"/>
                          <w:szCs w:val="13"/>
                        </w:rPr>
                        <w:t>MUDr. Hana Albrechtová</w:t>
                      </w:r>
                    </w:p>
                  </w:txbxContent>
                </v:textbox>
                <w10:wrap type="topAndBottom" anchorx="page"/>
              </v:shape>
            </w:pict>
          </mc:Fallback>
        </mc:AlternateContent>
      </w:r>
      <w:r>
        <mc:AlternateContent>
          <mc:Choice Requires="wps">
            <w:drawing>
              <wp:anchor distT="286385" distB="60960" distL="4305300" distR="513715" simplePos="0" relativeHeight="125829390" behindDoc="0" locked="0" layoutInCell="1" allowOverlap="1">
                <wp:simplePos x="0" y="0"/>
                <wp:positionH relativeFrom="page">
                  <wp:posOffset>4787265</wp:posOffset>
                </wp:positionH>
                <wp:positionV relativeFrom="paragraph">
                  <wp:posOffset>6141720</wp:posOffset>
                </wp:positionV>
                <wp:extent cx="1581785" cy="243840"/>
                <wp:wrapTopAndBottom/>
                <wp:docPr id="13" name="Shape 13"/>
                <a:graphic xmlns:a="http://schemas.openxmlformats.org/drawingml/2006/main">
                  <a:graphicData uri="http://schemas.microsoft.com/office/word/2010/wordprocessingShape">
                    <wps:wsp>
                      <wps:cNvSpPr txBox="1"/>
                      <wps:spPr>
                        <a:xfrm>
                          <a:ext cx="1581785" cy="243840"/>
                        </a:xfrm>
                        <a:prstGeom prst="rect"/>
                        <a:noFill/>
                      </wps:spPr>
                      <wps:txbx>
                        <w:txbxContent>
                          <w:p>
                            <w:pPr>
                              <w:pStyle w:val="Style22"/>
                              <w:keepNext/>
                              <w:keepLines/>
                              <w:widowControl w:val="0"/>
                              <w:shd w:val="clear" w:color="auto" w:fill="auto"/>
                              <w:bidi w:val="0"/>
                              <w:spacing w:before="0" w:after="0" w:line="240" w:lineRule="auto"/>
                              <w:ind w:left="0" w:right="0" w:firstLine="0"/>
                              <w:jc w:val="both"/>
                            </w:pPr>
                            <w:bookmarkStart w:id="4" w:name="bookmark4"/>
                            <w:r>
                              <w:rPr>
                                <w:rStyle w:val="CharStyle23"/>
                              </w:rPr>
                              <w:t>Albrechtová“^^</w:t>
                            </w:r>
                            <w:bookmarkEnd w:id="4"/>
                          </w:p>
                        </w:txbxContent>
                      </wps:txbx>
                      <wps:bodyPr wrap="none" lIns="0" tIns="0" rIns="0" bIns="0">
                        <a:noAutoFit/>
                      </wps:bodyPr>
                    </wps:wsp>
                  </a:graphicData>
                </a:graphic>
              </wp:anchor>
            </w:drawing>
          </mc:Choice>
          <mc:Fallback>
            <w:pict>
              <v:shape id="_x0000_s1039" type="#_x0000_t202" style="position:absolute;margin-left:376.94999999999999pt;margin-top:483.60000000000002pt;width:124.55pt;height:19.199999999999999pt;z-index:-125829363;mso-wrap-distance-left:339.pt;mso-wrap-distance-top:22.550000000000001pt;mso-wrap-distance-right:40.450000000000003pt;mso-wrap-distance-bottom:4.7999999999999998pt;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both"/>
                      </w:pPr>
                      <w:bookmarkStart w:id="4" w:name="bookmark4"/>
                      <w:r>
                        <w:rPr>
                          <w:rStyle w:val="CharStyle23"/>
                        </w:rPr>
                        <w:t>Albrechtová“^^</w:t>
                      </w:r>
                      <w:bookmarkEnd w:id="4"/>
                    </w:p>
                  </w:txbxContent>
                </v:textbox>
                <w10:wrap type="topAndBottom" anchorx="page"/>
              </v:shape>
            </w:pict>
          </mc:Fallback>
        </mc:AlternateContent>
      </w:r>
    </w:p>
    <w:p>
      <w:pPr>
        <w:pStyle w:val="Style9"/>
        <w:keepNext w:val="0"/>
        <w:keepLines w:val="0"/>
        <w:widowControl w:val="0"/>
        <w:shd w:val="clear" w:color="auto" w:fill="auto"/>
        <w:bidi w:val="0"/>
        <w:spacing w:before="0" w:after="0" w:line="240" w:lineRule="auto"/>
        <w:ind w:left="0" w:right="0" w:firstLine="0"/>
        <w:jc w:val="center"/>
      </w:pPr>
      <w:r>
        <w:rPr>
          <w:rStyle w:val="CharStyle10"/>
        </w:rPr>
        <w:t>tento</w:t>
      </w:r>
    </w:p>
    <w:p>
      <w:pPr>
        <w:pStyle w:val="Style27"/>
        <w:keepNext w:val="0"/>
        <w:keepLines w:val="0"/>
        <w:widowControl w:val="0"/>
        <w:shd w:val="clear" w:color="auto" w:fill="auto"/>
        <w:bidi w:val="0"/>
        <w:spacing w:before="0" w:after="0" w:line="240" w:lineRule="auto"/>
        <w:ind w:left="0" w:right="0" w:firstLine="0"/>
        <w:jc w:val="center"/>
      </w:pPr>
      <w:r>
        <w:rPr>
          <w:rStyle w:val="CharStyle28"/>
          <w:b/>
          <w:bCs/>
        </w:rPr>
        <w:t>Dodatek č. 2</w:t>
      </w:r>
    </w:p>
    <w:p>
      <w:pPr>
        <w:pStyle w:val="Style27"/>
        <w:keepNext w:val="0"/>
        <w:keepLines w:val="0"/>
        <w:widowControl w:val="0"/>
        <w:shd w:val="clear" w:color="auto" w:fill="auto"/>
        <w:bidi w:val="0"/>
        <w:spacing w:before="0" w:after="280" w:line="240" w:lineRule="auto"/>
        <w:ind w:left="0" w:right="0" w:firstLine="0"/>
        <w:jc w:val="center"/>
      </w:pPr>
      <w:r>
        <w:rPr>
          <w:rStyle w:val="CharStyle28"/>
        </w:rPr>
        <w:t>K Rámcové kupní smlouvě ze dne 24.10.2018 (dále jen „Smlouva“)</w:t>
      </w:r>
    </w:p>
    <w:p>
      <w:pPr>
        <w:pStyle w:val="Style7"/>
        <w:keepNext w:val="0"/>
        <w:keepLines w:val="0"/>
        <w:widowControl w:val="0"/>
        <w:shd w:val="clear" w:color="auto" w:fill="auto"/>
        <w:bidi w:val="0"/>
        <w:spacing w:before="0" w:after="0" w:line="240" w:lineRule="auto"/>
        <w:ind w:left="0" w:right="0" w:firstLine="0"/>
        <w:jc w:val="left"/>
      </w:pPr>
      <w:r>
        <w:rPr>
          <w:rStyle w:val="CharStyle8"/>
        </w:rPr>
        <w:t>1. Strany se dohodly, že s účinností od 1.1.2022 se mění uvedené ceny v příloze č.2 - Ceník takto:</w:t>
      </w:r>
    </w:p>
    <w:tbl>
      <w:tblPr>
        <w:tblOverlap w:val="never"/>
        <w:jc w:val="center"/>
        <w:tblLayout w:type="fixed"/>
      </w:tblPr>
      <w:tblGrid>
        <w:gridCol w:w="614"/>
        <w:gridCol w:w="3931"/>
        <w:gridCol w:w="1646"/>
        <w:gridCol w:w="1656"/>
        <w:gridCol w:w="1666"/>
      </w:tblGrid>
      <w:tr>
        <w:trPr>
          <w:trHeight w:val="974" w:hRule="exact"/>
        </w:trPr>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color w:val="555C6B"/>
                <w:sz w:val="19"/>
                <w:szCs w:val="19"/>
              </w:rPr>
              <w:t>Poř. č.</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color w:val="555C6B"/>
                <w:sz w:val="19"/>
                <w:szCs w:val="19"/>
              </w:rPr>
              <w:t>Položka</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color w:val="555C6B"/>
                <w:sz w:val="19"/>
                <w:szCs w:val="19"/>
              </w:rPr>
              <w:t>Předpokládaný počet lahví za rok</w:t>
            </w:r>
          </w:p>
        </w:tc>
        <w:tc>
          <w:tcPr>
            <w:tcBorders>
              <w:top w:val="single" w:sz="4"/>
              <w:lef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color w:val="555C6B"/>
                <w:sz w:val="19"/>
                <w:szCs w:val="19"/>
              </w:rPr>
              <w:t>Původní Cena bez DPH za 1 láhev</w:t>
            </w:r>
          </w:p>
        </w:tc>
        <w:tc>
          <w:tcPr>
            <w:tcBorders>
              <w:top w:val="single" w:sz="4"/>
              <w:left w:val="single" w:sz="4"/>
              <w:right w:val="single" w:sz="4"/>
            </w:tcBorders>
            <w:shd w:val="clear" w:color="auto" w:fill="auto"/>
            <w:vAlign w:val="center"/>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color w:val="555C6B"/>
                <w:sz w:val="19"/>
                <w:szCs w:val="19"/>
              </w:rPr>
              <w:t>Nová Cena bez DPH za 1 láhev</w:t>
            </w:r>
          </w:p>
        </w:tc>
      </w:tr>
      <w:tr>
        <w:trPr>
          <w:trHeight w:val="302" w:hRule="exact"/>
        </w:trPr>
        <w:tc>
          <w:tcPr>
            <w:gridSpan w:val="5"/>
            <w:tcBorders>
              <w:top w:val="single" w:sz="4"/>
              <w:left w:val="single" w:sz="4"/>
            </w:tcBorders>
            <w:shd w:val="clear" w:color="auto" w:fill="auto"/>
            <w:vAlign w:val="bottom"/>
          </w:tcPr>
          <w:p>
            <w:pPr>
              <w:pStyle w:val="Style2"/>
              <w:keepNext w:val="0"/>
              <w:keepLines w:val="0"/>
              <w:widowControl w:val="0"/>
              <w:shd w:val="clear" w:color="auto" w:fill="auto"/>
              <w:tabs>
                <w:tab w:pos="634" w:val="left"/>
              </w:tabs>
              <w:bidi w:val="0"/>
              <w:spacing w:before="0" w:after="0" w:line="240" w:lineRule="auto"/>
              <w:ind w:left="0" w:right="0" w:firstLine="0"/>
              <w:jc w:val="left"/>
              <w:rPr>
                <w:sz w:val="19"/>
                <w:szCs w:val="19"/>
              </w:rPr>
            </w:pPr>
            <w:r>
              <w:rPr>
                <w:rStyle w:val="CharStyle3"/>
                <w:b/>
                <w:bCs/>
                <w:sz w:val="19"/>
                <w:szCs w:val="19"/>
              </w:rPr>
              <w:t>A</w:t>
              <w:tab/>
              <w:t>Plnění lahví (kyslík)</w:t>
            </w:r>
          </w:p>
        </w:tc>
      </w:tr>
      <w:tr>
        <w:trPr>
          <w:trHeight w:val="31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b/>
                <w:bCs/>
                <w:sz w:val="19"/>
                <w:szCs w:val="19"/>
              </w:rPr>
              <w:t>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Náplň lahve 2 I - LIV</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1920</w:t>
            </w:r>
          </w:p>
        </w:tc>
        <w:tc>
          <w:tcPr>
            <w:tcBorders>
              <w:top w:val="single" w:sz="4"/>
              <w:lef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strike/>
                <w:color w:val="635842"/>
                <w:sz w:val="19"/>
                <w:szCs w:val="19"/>
              </w:rPr>
              <w:t>750,00</w:t>
            </w:r>
          </w:p>
        </w:tc>
        <w:tc>
          <w:tcPr>
            <w:tcBorders>
              <w:top w:val="single" w:sz="4"/>
              <w:left w:val="single" w:sz="4"/>
              <w:righ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color w:val="635842"/>
                <w:sz w:val="19"/>
                <w:szCs w:val="19"/>
              </w:rPr>
              <w:t>824,00</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Náplň lahve 10 I - LIV</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700</w:t>
            </w:r>
          </w:p>
        </w:tc>
        <w:tc>
          <w:tcPr>
            <w:tcBorders>
              <w:top w:val="single" w:sz="4"/>
              <w:lef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color w:val="635842"/>
                <w:sz w:val="19"/>
                <w:szCs w:val="19"/>
              </w:rPr>
              <w:t>4-420,00</w:t>
            </w:r>
          </w:p>
        </w:tc>
        <w:tc>
          <w:tcPr>
            <w:tcBorders>
              <w:top w:val="single" w:sz="4"/>
              <w:left w:val="single" w:sz="4"/>
              <w:righ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860"/>
              <w:jc w:val="both"/>
              <w:rPr>
                <w:sz w:val="19"/>
                <w:szCs w:val="19"/>
              </w:rPr>
            </w:pPr>
            <w:r>
              <w:rPr>
                <w:rStyle w:val="CharStyle3"/>
                <w:color w:val="635842"/>
                <w:sz w:val="19"/>
                <w:szCs w:val="19"/>
              </w:rPr>
              <w:t>1561,00</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3.</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Náplň lahve 4,7 I - kompozit</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40</w:t>
            </w:r>
          </w:p>
        </w:tc>
        <w:tc>
          <w:tcPr>
            <w:tcBorders>
              <w:top w:val="single" w:sz="4"/>
              <w:lef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color w:val="635842"/>
                <w:sz w:val="19"/>
                <w:szCs w:val="19"/>
              </w:rPr>
              <w:t>§60,00</w:t>
            </w:r>
          </w:p>
        </w:tc>
        <w:tc>
          <w:tcPr>
            <w:tcBorders>
              <w:top w:val="single" w:sz="4"/>
              <w:left w:val="single" w:sz="4"/>
              <w:righ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color w:val="635842"/>
                <w:sz w:val="19"/>
                <w:szCs w:val="19"/>
              </w:rPr>
              <w:t>945,00</w:t>
            </w:r>
          </w:p>
        </w:tc>
      </w:tr>
      <w:tr>
        <w:trPr>
          <w:trHeight w:val="298" w:hRule="exact"/>
        </w:trPr>
        <w:tc>
          <w:tcPr>
            <w:gridSpan w:val="5"/>
            <w:tcBorders>
              <w:top w:val="single" w:sz="4"/>
              <w:left w:val="single" w:sz="4"/>
            </w:tcBorders>
            <w:shd w:val="clear" w:color="auto" w:fill="auto"/>
            <w:vAlign w:val="bottom"/>
          </w:tcPr>
          <w:p>
            <w:pPr>
              <w:pStyle w:val="Style2"/>
              <w:keepNext w:val="0"/>
              <w:keepLines w:val="0"/>
              <w:widowControl w:val="0"/>
              <w:shd w:val="clear" w:color="auto" w:fill="auto"/>
              <w:tabs>
                <w:tab w:pos="619" w:val="left"/>
              </w:tabs>
              <w:bidi w:val="0"/>
              <w:spacing w:before="0" w:after="0" w:line="240" w:lineRule="auto"/>
              <w:ind w:left="0" w:right="0" w:firstLine="0"/>
              <w:jc w:val="left"/>
              <w:rPr>
                <w:sz w:val="19"/>
                <w:szCs w:val="19"/>
              </w:rPr>
            </w:pPr>
            <w:r>
              <w:rPr>
                <w:rStyle w:val="CharStyle3"/>
                <w:b/>
                <w:bCs/>
                <w:sz w:val="19"/>
                <w:szCs w:val="19"/>
              </w:rPr>
              <w:t>B</w:t>
              <w:tab/>
              <w:t>Nájem lahví (kyslík) za 6 měsíců</w:t>
            </w:r>
          </w:p>
        </w:tc>
      </w:tr>
      <w:tr>
        <w:trPr>
          <w:trHeight w:val="29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Dlouhodobý nájem lahve 2 I - LIV</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317</w:t>
            </w:r>
          </w:p>
        </w:tc>
        <w:tc>
          <w:tcPr>
            <w:tcBorders>
              <w:top w:val="single" w:sz="4"/>
              <w:lef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color w:val="635842"/>
                <w:sz w:val="19"/>
                <w:szCs w:val="19"/>
              </w:rPr>
              <w:t>2200,00</w:t>
            </w:r>
          </w:p>
        </w:tc>
        <w:tc>
          <w:tcPr>
            <w:tcBorders>
              <w:top w:val="single" w:sz="4"/>
              <w:left w:val="single" w:sz="4"/>
              <w:righ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860"/>
              <w:jc w:val="both"/>
              <w:rPr>
                <w:sz w:val="19"/>
                <w:szCs w:val="19"/>
              </w:rPr>
            </w:pPr>
            <w:r>
              <w:rPr>
                <w:rStyle w:val="CharStyle3"/>
                <w:color w:val="635842"/>
                <w:sz w:val="19"/>
                <w:szCs w:val="19"/>
              </w:rPr>
              <w:t>2427,00</w:t>
            </w:r>
          </w:p>
        </w:tc>
      </w:tr>
      <w:tr>
        <w:trPr>
          <w:trHeight w:val="298"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2.</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Dlouhodobý nájem lahve 10 I - LIV</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185</w:t>
            </w:r>
          </w:p>
        </w:tc>
        <w:tc>
          <w:tcPr>
            <w:tcBorders>
              <w:top w:val="single" w:sz="4"/>
              <w:lef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strike/>
                <w:color w:val="635842"/>
                <w:sz w:val="19"/>
                <w:szCs w:val="19"/>
              </w:rPr>
              <w:t>2 208,0</w:t>
            </w:r>
            <w:r>
              <w:rPr>
                <w:rStyle w:val="CharStyle3"/>
                <w:color w:val="635842"/>
                <w:sz w:val="19"/>
                <w:szCs w:val="19"/>
              </w:rPr>
              <w:t>0</w:t>
            </w:r>
          </w:p>
        </w:tc>
        <w:tc>
          <w:tcPr>
            <w:tcBorders>
              <w:top w:val="single" w:sz="4"/>
              <w:left w:val="single" w:sz="4"/>
              <w:righ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860"/>
              <w:jc w:val="both"/>
              <w:rPr>
                <w:sz w:val="19"/>
                <w:szCs w:val="19"/>
              </w:rPr>
            </w:pPr>
            <w:r>
              <w:rPr>
                <w:rStyle w:val="CharStyle3"/>
                <w:color w:val="635842"/>
                <w:sz w:val="19"/>
                <w:szCs w:val="19"/>
              </w:rPr>
              <w:t>2427,00</w:t>
            </w:r>
          </w:p>
        </w:tc>
      </w:tr>
      <w:tr>
        <w:trPr>
          <w:trHeight w:val="288" w:hRule="exact"/>
        </w:trPr>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3.</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Dlouhodobý nájem lahve 4,7 I - kompozit</w:t>
            </w:r>
          </w:p>
        </w:tc>
        <w:tc>
          <w:tcPr>
            <w:tcBorders>
              <w:top w:val="single" w:sz="4"/>
              <w:left w:val="single" w:sz="4"/>
            </w:tcBorders>
            <w:shd w:val="clear" w:color="auto" w:fill="auto"/>
            <w:vAlign w:val="top"/>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6</w:t>
            </w:r>
          </w:p>
        </w:tc>
        <w:tc>
          <w:tcPr>
            <w:tcBorders>
              <w:top w:val="single" w:sz="4"/>
              <w:left w:val="single" w:sz="4"/>
            </w:tcBorders>
            <w:shd w:val="clear" w:color="auto" w:fill="FCF08A"/>
            <w:vAlign w:val="top"/>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color w:val="635842"/>
                <w:sz w:val="19"/>
                <w:szCs w:val="19"/>
                <w:u w:val="single"/>
              </w:rPr>
              <w:t>5 i</w:t>
            </w:r>
            <w:r>
              <w:rPr>
                <w:rStyle w:val="CharStyle3"/>
                <w:color w:val="635842"/>
                <w:sz w:val="19"/>
                <w:szCs w:val="19"/>
              </w:rPr>
              <w:t>i</w:t>
            </w:r>
            <w:r>
              <w:rPr>
                <w:rStyle w:val="CharStyle3"/>
                <w:color w:val="635842"/>
                <w:sz w:val="19"/>
                <w:szCs w:val="19"/>
                <w:u w:val="single"/>
              </w:rPr>
              <w:t>nnn</w:t>
            </w:r>
          </w:p>
        </w:tc>
        <w:tc>
          <w:tcPr>
            <w:tcBorders>
              <w:top w:val="single" w:sz="4"/>
              <w:left w:val="single" w:sz="4"/>
              <w:right w:val="single" w:sz="4"/>
            </w:tcBorders>
            <w:shd w:val="clear" w:color="auto" w:fill="FCF08A"/>
            <w:vAlign w:val="top"/>
          </w:tcPr>
          <w:p>
            <w:pPr>
              <w:pStyle w:val="Style2"/>
              <w:keepNext w:val="0"/>
              <w:keepLines w:val="0"/>
              <w:widowControl w:val="0"/>
              <w:shd w:val="clear" w:color="auto" w:fill="auto"/>
              <w:bidi w:val="0"/>
              <w:spacing w:before="0" w:after="0" w:line="240" w:lineRule="auto"/>
              <w:ind w:left="0" w:right="0" w:firstLine="860"/>
              <w:jc w:val="both"/>
              <w:rPr>
                <w:sz w:val="19"/>
                <w:szCs w:val="19"/>
              </w:rPr>
            </w:pPr>
            <w:r>
              <w:rPr>
                <w:rStyle w:val="CharStyle3"/>
                <w:color w:val="635842"/>
                <w:sz w:val="19"/>
                <w:szCs w:val="19"/>
              </w:rPr>
              <w:t>5616,00</w:t>
            </w:r>
          </w:p>
        </w:tc>
      </w:tr>
      <w:tr>
        <w:trPr>
          <w:trHeight w:val="298" w:hRule="exact"/>
        </w:trPr>
        <w:tc>
          <w:tcPr>
            <w:gridSpan w:val="5"/>
            <w:tcBorders>
              <w:top w:val="single" w:sz="4"/>
              <w:left w:val="single" w:sz="4"/>
            </w:tcBorders>
            <w:shd w:val="clear" w:color="auto" w:fill="auto"/>
            <w:vAlign w:val="bottom"/>
          </w:tcPr>
          <w:p>
            <w:pPr>
              <w:pStyle w:val="Style2"/>
              <w:keepNext w:val="0"/>
              <w:keepLines w:val="0"/>
              <w:widowControl w:val="0"/>
              <w:shd w:val="clear" w:color="auto" w:fill="auto"/>
              <w:tabs>
                <w:tab w:pos="629" w:val="left"/>
              </w:tabs>
              <w:bidi w:val="0"/>
              <w:spacing w:before="0" w:after="0" w:line="240" w:lineRule="auto"/>
              <w:ind w:left="0" w:right="0" w:firstLine="0"/>
              <w:jc w:val="left"/>
              <w:rPr>
                <w:sz w:val="19"/>
                <w:szCs w:val="19"/>
              </w:rPr>
            </w:pPr>
            <w:r>
              <w:rPr>
                <w:rStyle w:val="CharStyle3"/>
                <w:b/>
                <w:bCs/>
                <w:sz w:val="19"/>
                <w:szCs w:val="19"/>
              </w:rPr>
              <w:t>C</w:t>
              <w:tab/>
              <w:t>Plnění lahví (vzduch)</w:t>
            </w:r>
          </w:p>
        </w:tc>
      </w:tr>
      <w:tr>
        <w:trPr>
          <w:trHeight w:val="302" w:hRule="exact"/>
        </w:trPr>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1.</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Náplň lahve 10 I - ocel</w:t>
            </w:r>
          </w:p>
        </w:tc>
        <w:tc>
          <w:tcPr>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2</w:t>
            </w:r>
          </w:p>
        </w:tc>
        <w:tc>
          <w:tcPr>
            <w:tcBorders>
              <w:top w:val="single" w:sz="4"/>
              <w:lef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strike/>
                <w:color w:val="635842"/>
                <w:sz w:val="19"/>
                <w:szCs w:val="19"/>
              </w:rPr>
              <w:t>2-700.00</w:t>
            </w:r>
          </w:p>
        </w:tc>
        <w:tc>
          <w:tcPr>
            <w:tcBorders>
              <w:top w:val="single" w:sz="4"/>
              <w:left w:val="single" w:sz="4"/>
              <w:righ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860"/>
              <w:jc w:val="both"/>
              <w:rPr>
                <w:sz w:val="19"/>
                <w:szCs w:val="19"/>
              </w:rPr>
            </w:pPr>
            <w:r>
              <w:rPr>
                <w:rStyle w:val="CharStyle3"/>
                <w:color w:val="635842"/>
                <w:sz w:val="19"/>
                <w:szCs w:val="19"/>
              </w:rPr>
              <w:t>2967,00</w:t>
            </w:r>
          </w:p>
        </w:tc>
      </w:tr>
      <w:tr>
        <w:trPr>
          <w:trHeight w:val="302" w:hRule="exact"/>
        </w:trPr>
        <w:tc>
          <w:tcPr>
            <w:gridSpan w:val="5"/>
            <w:tcBorders>
              <w:top w:val="single" w:sz="4"/>
              <w:left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b/>
                <w:bCs/>
                <w:sz w:val="19"/>
                <w:szCs w:val="19"/>
              </w:rPr>
              <w:t>D Nájem lahví (vzduch) za rok</w:t>
            </w:r>
          </w:p>
        </w:tc>
      </w:tr>
      <w:tr>
        <w:trPr>
          <w:trHeight w:val="317" w:hRule="exact"/>
        </w:trPr>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b/>
                <w:bCs/>
                <w:sz w:val="19"/>
                <w:szCs w:val="19"/>
              </w:rPr>
              <w:t>1.</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sz w:val="19"/>
                <w:szCs w:val="19"/>
              </w:rPr>
              <w:t>Dlouhodobý nájem lahve 10 I - ocel</w:t>
            </w:r>
          </w:p>
        </w:tc>
        <w:tc>
          <w:tcPr>
            <w:tcBorders>
              <w:top w:val="single" w:sz="4"/>
              <w:left w:val="single" w:sz="4"/>
              <w:bottom w:val="single" w:sz="4"/>
            </w:tcBorders>
            <w:shd w:val="clear" w:color="auto" w:fill="auto"/>
            <w:vAlign w:val="bottom"/>
          </w:tcPr>
          <w:p>
            <w:pPr>
              <w:pStyle w:val="Style2"/>
              <w:keepNext w:val="0"/>
              <w:keepLines w:val="0"/>
              <w:widowControl w:val="0"/>
              <w:shd w:val="clear" w:color="auto" w:fill="auto"/>
              <w:bidi w:val="0"/>
              <w:spacing w:before="0" w:after="0" w:line="240" w:lineRule="auto"/>
              <w:ind w:left="0" w:right="0" w:firstLine="0"/>
              <w:jc w:val="center"/>
              <w:rPr>
                <w:sz w:val="19"/>
                <w:szCs w:val="19"/>
              </w:rPr>
            </w:pPr>
            <w:r>
              <w:rPr>
                <w:rStyle w:val="CharStyle3"/>
                <w:sz w:val="19"/>
                <w:szCs w:val="19"/>
              </w:rPr>
              <w:t>2</w:t>
            </w:r>
          </w:p>
        </w:tc>
        <w:tc>
          <w:tcPr>
            <w:tcBorders>
              <w:top w:val="single" w:sz="4"/>
              <w:left w:val="single" w:sz="4"/>
              <w:bottom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0"/>
              <w:jc w:val="right"/>
              <w:rPr>
                <w:sz w:val="19"/>
                <w:szCs w:val="19"/>
              </w:rPr>
            </w:pPr>
            <w:r>
              <w:rPr>
                <w:rStyle w:val="CharStyle3"/>
                <w:color w:val="635842"/>
                <w:sz w:val="19"/>
                <w:szCs w:val="19"/>
              </w:rPr>
              <w:t>0000-00</w:t>
            </w:r>
          </w:p>
        </w:tc>
        <w:tc>
          <w:tcPr>
            <w:tcBorders>
              <w:top w:val="single" w:sz="4"/>
              <w:left w:val="single" w:sz="4"/>
              <w:bottom w:val="single" w:sz="4"/>
              <w:right w:val="single" w:sz="4"/>
            </w:tcBorders>
            <w:shd w:val="clear" w:color="auto" w:fill="FCF08A"/>
            <w:vAlign w:val="bottom"/>
          </w:tcPr>
          <w:p>
            <w:pPr>
              <w:pStyle w:val="Style2"/>
              <w:keepNext w:val="0"/>
              <w:keepLines w:val="0"/>
              <w:widowControl w:val="0"/>
              <w:shd w:val="clear" w:color="auto" w:fill="auto"/>
              <w:bidi w:val="0"/>
              <w:spacing w:before="0" w:after="0" w:line="240" w:lineRule="auto"/>
              <w:ind w:left="0" w:right="0" w:firstLine="860"/>
              <w:jc w:val="both"/>
              <w:rPr>
                <w:sz w:val="19"/>
                <w:szCs w:val="19"/>
              </w:rPr>
            </w:pPr>
            <w:r>
              <w:rPr>
                <w:rStyle w:val="CharStyle3"/>
                <w:color w:val="635842"/>
                <w:sz w:val="19"/>
                <w:szCs w:val="19"/>
              </w:rPr>
              <w:t>4176,00</w:t>
            </w:r>
          </w:p>
        </w:tc>
      </w:tr>
    </w:tbl>
    <w:p>
      <w:pPr>
        <w:widowControl w:val="0"/>
        <w:spacing w:after="79" w:line="1" w:lineRule="exact"/>
      </w:pPr>
    </w:p>
    <w:p>
      <w:pPr>
        <w:pStyle w:val="Style9"/>
        <w:keepNext w:val="0"/>
        <w:keepLines w:val="0"/>
        <w:widowControl w:val="0"/>
        <w:shd w:val="clear" w:color="auto" w:fill="auto"/>
        <w:bidi w:val="0"/>
        <w:spacing w:before="0" w:after="280" w:line="374" w:lineRule="auto"/>
        <w:ind w:left="0" w:right="0" w:firstLine="0"/>
        <w:jc w:val="both"/>
      </w:pPr>
      <w:r>
        <w:rPr>
          <w:rStyle w:val="CharStyle10"/>
        </w:rPr>
        <w:t>Strany tak činí s ohledem na momentální globální růst cen energií, pohonných hmot a ostatních výrobních a jiných nákladů, které nemůže prodávající ovlivnit, a které nebylo možno předvídat při uzavření smlouvy. Strany tak přitom činí podle ust. par. 222 odst. 4 zákona č. 134/2016 Sb. o zadávání veřejných zakázek, podle něhož lze změnit závazek ze smlouvy na veřejnou zakázku, pokud se nemění celková povaha veřejné zakázky, změna ceny je nižší než finanční limit pro nadlimitní veřejnou zakázku a nižší než 10 % původní hodnoty závazku.</w:t>
      </w:r>
    </w:p>
    <w:p>
      <w:pPr>
        <w:pStyle w:val="Style9"/>
        <w:keepNext w:val="0"/>
        <w:keepLines w:val="0"/>
        <w:widowControl w:val="0"/>
        <w:numPr>
          <w:ilvl w:val="0"/>
          <w:numId w:val="1"/>
        </w:numPr>
        <w:shd w:val="clear" w:color="auto" w:fill="auto"/>
        <w:tabs>
          <w:tab w:pos="691" w:val="left"/>
        </w:tabs>
        <w:bidi w:val="0"/>
        <w:spacing w:before="0" w:after="360" w:line="240" w:lineRule="auto"/>
        <w:ind w:left="0" w:right="0" w:firstLine="0"/>
        <w:jc w:val="both"/>
      </w:pPr>
      <w:r>
        <w:rPr>
          <w:rStyle w:val="CharStyle10"/>
        </w:rPr>
        <w:t>Ostatní ujednání smlouvy nejsou tímto dodatkem nijak dotčena.</w:t>
      </w:r>
    </w:p>
    <w:p>
      <w:pPr>
        <w:pStyle w:val="Style9"/>
        <w:keepNext w:val="0"/>
        <w:keepLines w:val="0"/>
        <w:widowControl w:val="0"/>
        <w:numPr>
          <w:ilvl w:val="0"/>
          <w:numId w:val="1"/>
        </w:numPr>
        <w:shd w:val="clear" w:color="auto" w:fill="auto"/>
        <w:tabs>
          <w:tab w:pos="691" w:val="left"/>
        </w:tabs>
        <w:bidi w:val="0"/>
        <w:spacing w:before="0" w:after="360" w:line="240" w:lineRule="auto"/>
        <w:ind w:left="0" w:right="0" w:firstLine="0"/>
        <w:jc w:val="both"/>
      </w:pPr>
      <w:r>
        <w:rPr>
          <w:rStyle w:val="CharStyle10"/>
        </w:rPr>
        <w:t>Tento dodatek nabývá platnosti dnem jeho uzavření a účinnosti dnem 1.1.2022</w:t>
      </w:r>
    </w:p>
    <w:p>
      <w:pPr>
        <w:pStyle w:val="Style9"/>
        <w:keepNext w:val="0"/>
        <w:keepLines w:val="0"/>
        <w:widowControl w:val="0"/>
        <w:numPr>
          <w:ilvl w:val="0"/>
          <w:numId w:val="1"/>
        </w:numPr>
        <w:shd w:val="clear" w:color="auto" w:fill="auto"/>
        <w:tabs>
          <w:tab w:pos="691" w:val="left"/>
        </w:tabs>
        <w:bidi w:val="0"/>
        <w:spacing w:before="0" w:after="500" w:line="240" w:lineRule="auto"/>
        <w:ind w:left="0" w:right="0" w:firstLine="0"/>
        <w:jc w:val="both"/>
      </w:pPr>
      <w:r>
        <w:rPr>
          <w:rStyle w:val="CharStyle10"/>
        </w:rPr>
        <w:t>Dáno v Brně dne 16.11.2021 ve dvou originálních písemných vyhotoveních, z nichž každá ze smluvních stran obdrží po jednom.</w:t>
      </w:r>
    </w:p>
    <w:p>
      <w:pPr>
        <w:pStyle w:val="Style9"/>
        <w:keepNext w:val="0"/>
        <w:keepLines w:val="0"/>
        <w:widowControl w:val="0"/>
        <w:shd w:val="clear" w:color="auto" w:fill="auto"/>
        <w:bidi w:val="0"/>
        <w:spacing w:before="0" w:after="0" w:line="240" w:lineRule="auto"/>
        <w:ind w:left="0" w:right="0" w:firstLine="0"/>
        <w:jc w:val="both"/>
        <w:sectPr>
          <w:footnotePr>
            <w:pos w:val="pageBottom"/>
            <w:numFmt w:val="decimal"/>
            <w:numRestart w:val="continuous"/>
          </w:footnotePr>
          <w:type w:val="continuous"/>
          <w:pgSz w:w="11900" w:h="16840"/>
          <w:pgMar w:top="1460" w:right="712" w:bottom="828" w:left="1006" w:header="0" w:footer="3" w:gutter="0"/>
          <w:cols w:space="720"/>
          <w:noEndnote/>
          <w:rtlGutter w:val="0"/>
          <w:docGrid w:linePitch="360"/>
        </w:sectPr>
      </w:pPr>
      <w:r>
        <mc:AlternateContent>
          <mc:Choice Requires="wps">
            <w:drawing>
              <wp:anchor distT="0" distB="0" distL="114300" distR="114300" simplePos="0" relativeHeight="125829392" behindDoc="0" locked="0" layoutInCell="1" allowOverlap="1">
                <wp:simplePos x="0" y="0"/>
                <wp:positionH relativeFrom="page">
                  <wp:posOffset>5482590</wp:posOffset>
                </wp:positionH>
                <wp:positionV relativeFrom="paragraph">
                  <wp:posOffset>12700</wp:posOffset>
                </wp:positionV>
                <wp:extent cx="194945" cy="121920"/>
                <wp:wrapSquare wrapText="left"/>
                <wp:docPr id="15" name="Shape 15"/>
                <a:graphic xmlns:a="http://schemas.openxmlformats.org/drawingml/2006/main">
                  <a:graphicData uri="http://schemas.microsoft.com/office/word/2010/wordprocessingShape">
                    <wps:wsp>
                      <wps:cNvSpPr txBox="1"/>
                      <wps:spPr>
                        <a:xfrm>
                          <a:ext cx="194945" cy="12192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dne</w:t>
                            </w:r>
                          </w:p>
                        </w:txbxContent>
                      </wps:txbx>
                      <wps:bodyPr wrap="none" lIns="0" tIns="0" rIns="0" bIns="0">
                        <a:noAutoFit/>
                      </wps:bodyPr>
                    </wps:wsp>
                  </a:graphicData>
                </a:graphic>
              </wp:anchor>
            </w:drawing>
          </mc:Choice>
          <mc:Fallback>
            <w:pict>
              <v:shape id="_x0000_s1041" type="#_x0000_t202" style="position:absolute;margin-left:431.69999999999999pt;margin-top:1.pt;width:15.35pt;height:9.5999999999999996pt;z-index:-125829361;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dne</w:t>
                      </w:r>
                    </w:p>
                  </w:txbxContent>
                </v:textbox>
                <w10:wrap type="square" side="left" anchorx="page"/>
              </v:shape>
            </w:pict>
          </mc:Fallback>
        </mc:AlternateContent>
      </w:r>
      <w:r>
        <w:rPr>
          <w:rStyle w:val="CharStyle10"/>
        </w:rPr>
        <w:t>V Přerově dne 16.11.2021</w:t>
      </w:r>
    </w:p>
    <w:p>
      <w:pPr>
        <w:pStyle w:val="Style9"/>
        <w:keepNext w:val="0"/>
        <w:keepLines w:val="0"/>
        <w:widowControl w:val="0"/>
        <w:shd w:val="clear" w:color="auto" w:fill="auto"/>
        <w:bidi w:val="0"/>
        <w:spacing w:before="0" w:after="0" w:line="240" w:lineRule="auto"/>
        <w:ind w:left="1920" w:right="0" w:firstLine="0"/>
        <w:jc w:val="left"/>
        <w:sectPr>
          <w:footnotePr>
            <w:pos w:val="pageBottom"/>
            <w:numFmt w:val="decimal"/>
            <w:numRestart w:val="continuous"/>
          </w:footnotePr>
          <w:type w:val="continuous"/>
          <w:pgSz w:w="11900" w:h="16840"/>
          <w:pgMar w:top="1460" w:right="597" w:bottom="828" w:left="1006" w:header="0" w:footer="3" w:gutter="0"/>
          <w:cols w:space="720"/>
          <w:noEndnote/>
          <w:rtlGutter w:val="0"/>
          <w:docGrid w:linePitch="360"/>
        </w:sectPr>
      </w:pPr>
      <w:r>
        <mc:AlternateContent>
          <mc:Choice Requires="wps">
            <w:drawing>
              <wp:anchor distT="0" distB="0" distL="114300" distR="114300" simplePos="0" relativeHeight="125829394" behindDoc="0" locked="0" layoutInCell="1" allowOverlap="1">
                <wp:simplePos x="0" y="0"/>
                <wp:positionH relativeFrom="page">
                  <wp:posOffset>5201920</wp:posOffset>
                </wp:positionH>
                <wp:positionV relativeFrom="paragraph">
                  <wp:posOffset>12700</wp:posOffset>
                </wp:positionV>
                <wp:extent cx="539750" cy="130810"/>
                <wp:wrapSquare wrapText="left"/>
                <wp:docPr id="17" name="Shape 17"/>
                <a:graphic xmlns:a="http://schemas.openxmlformats.org/drawingml/2006/main">
                  <a:graphicData uri="http://schemas.microsoft.com/office/word/2010/wordprocessingShape">
                    <wps:wsp>
                      <wps:cNvSpPr txBox="1"/>
                      <wps:spPr>
                        <a:xfrm>
                          <a:ext cx="539750" cy="1308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za nájemce</w:t>
                            </w:r>
                          </w:p>
                        </w:txbxContent>
                      </wps:txbx>
                      <wps:bodyPr wrap="none" lIns="0" tIns="0" rIns="0" bIns="0">
                        <a:noAutoFit/>
                      </wps:bodyPr>
                    </wps:wsp>
                  </a:graphicData>
                </a:graphic>
              </wp:anchor>
            </w:drawing>
          </mc:Choice>
          <mc:Fallback>
            <w:pict>
              <v:shape id="_x0000_s1043" type="#_x0000_t202" style="position:absolute;margin-left:409.60000000000002pt;margin-top:1.pt;width:42.5pt;height:10.300000000000001pt;z-index:-125829359;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Pr>
                        <w:t>za nájemce</w:t>
                      </w:r>
                    </w:p>
                  </w:txbxContent>
                </v:textbox>
                <w10:wrap type="square" side="left" anchorx="page"/>
              </v:shape>
            </w:pict>
          </mc:Fallback>
        </mc:AlternateContent>
      </w:r>
      <w:r>
        <w:rPr>
          <w:rStyle w:val="CharStyle10"/>
        </w:rPr>
        <w:t>za Lindě Gas a.s.</w:t>
      </w:r>
    </w:p>
    <w:p>
      <w:pPr>
        <w:pStyle w:val="Style24"/>
        <w:keepNext w:val="0"/>
        <w:keepLines w:val="0"/>
        <w:widowControl w:val="0"/>
        <w:shd w:val="clear" w:color="auto" w:fill="auto"/>
        <w:bidi w:val="0"/>
        <w:spacing w:before="0" w:after="0" w:line="233" w:lineRule="auto"/>
        <w:ind w:left="0" w:right="0" w:firstLine="0"/>
        <w:jc w:val="both"/>
        <w:rPr>
          <w:sz w:val="12"/>
          <w:szCs w:val="12"/>
        </w:rPr>
      </w:pPr>
      <w:r>
        <w:rPr>
          <w:rStyle w:val="CharStyle25"/>
          <w:b/>
          <w:bCs/>
          <w:sz w:val="12"/>
          <w:szCs w:val="12"/>
        </w:rPr>
        <w:t>VŠEOBECNÉ OBCHODNÍ PODMÍNKY LINDĚ PRO PRODEJ PLYNU A NÁJEM DISTRIBUČNÍCH PROSTŘEDKU</w:t>
      </w:r>
    </w:p>
    <w:p>
      <w:pPr>
        <w:pStyle w:val="Style24"/>
        <w:keepNext w:val="0"/>
        <w:keepLines w:val="0"/>
        <w:widowControl w:val="0"/>
        <w:shd w:val="clear" w:color="auto" w:fill="auto"/>
        <w:bidi w:val="0"/>
        <w:spacing w:before="0" w:after="0"/>
        <w:ind w:left="2600" w:right="0" w:firstLine="0"/>
        <w:jc w:val="left"/>
      </w:pPr>
      <w:r>
        <w:rPr>
          <w:rStyle w:val="CharStyle25"/>
        </w:rPr>
        <w:t>(dále jen „Podmínky“)</w:t>
      </w:r>
    </w:p>
    <w:p>
      <w:pPr>
        <w:pStyle w:val="Style37"/>
        <w:keepNext/>
        <w:keepLines/>
        <w:widowControl w:val="0"/>
        <w:numPr>
          <w:ilvl w:val="0"/>
          <w:numId w:val="3"/>
        </w:numPr>
        <w:shd w:val="clear" w:color="auto" w:fill="auto"/>
        <w:tabs>
          <w:tab w:pos="217" w:val="left"/>
        </w:tabs>
        <w:bidi w:val="0"/>
        <w:spacing w:before="0" w:after="0"/>
        <w:ind w:left="0" w:right="0" w:firstLine="0"/>
        <w:jc w:val="both"/>
      </w:pPr>
      <w:bookmarkStart w:id="6" w:name="bookmark6"/>
      <w:r>
        <w:rPr>
          <w:rStyle w:val="CharStyle38"/>
          <w:b/>
          <w:bCs/>
        </w:rPr>
        <w:t>ZÁKLADNÍ USTANOVENÍ</w:t>
      </w:r>
      <w:bookmarkEnd w:id="6"/>
    </w:p>
    <w:p>
      <w:pPr>
        <w:pStyle w:val="Style24"/>
        <w:keepNext w:val="0"/>
        <w:keepLines w:val="0"/>
        <w:widowControl w:val="0"/>
        <w:shd w:val="clear" w:color="auto" w:fill="auto"/>
        <w:bidi w:val="0"/>
        <w:spacing w:before="0" w:after="0"/>
        <w:ind w:left="0" w:right="0" w:firstLine="0"/>
        <w:jc w:val="both"/>
      </w:pPr>
      <w:r>
        <w:rPr>
          <w:rStyle w:val="CharStyle25"/>
        </w:rPr>
        <w:t>Tyto Podmínky jsou integrální součástí každé smlouvy, na základě které se Lindě zavazuje dodávat zákazníkovi technický, medicinální či speciální plyn/y v jakémkoliv skupenství v Distribučním prostředku nebo do Zásobovacího zařízení (dále jen „Plyn/y") a/nebo mu pronajmout Distribuční prostředek či Technické zařízení Lindě.</w:t>
      </w:r>
    </w:p>
    <w:p>
      <w:pPr>
        <w:pStyle w:val="Style24"/>
        <w:keepNext w:val="0"/>
        <w:keepLines w:val="0"/>
        <w:widowControl w:val="0"/>
        <w:shd w:val="clear" w:color="auto" w:fill="auto"/>
        <w:bidi w:val="0"/>
        <w:spacing w:before="0" w:after="0"/>
        <w:ind w:left="0" w:right="0" w:firstLine="0"/>
        <w:jc w:val="both"/>
      </w:pPr>
      <w:r>
        <w:rPr>
          <w:rStyle w:val="CharStyle25"/>
        </w:rPr>
        <w:t>Jednotlivé smlouvy vznikají akceptaci nabídky Lindě zákazníkem, a to prostřednictvím smluv, objednávek zákazníka potvrzených ze strany Lindě, a/nebo pouhým převzetím Distribučního prostředku Lindě zákazníkem (dále jen „Smlouva"). Strany jsou povinny své identifikační a kontaktní údaje při uzavření Smlouvy uvádět správně a pravdivě a bez zbytečného odkladu informovat druhou Stranu o změně těchto údajů. Smlouva se řídi českým právem; spory ze Smlouvy budou rozhodovat věcné příslušné české soudy místně příslušné dle sídla Lindě.</w:t>
      </w:r>
    </w:p>
    <w:p>
      <w:pPr>
        <w:pStyle w:val="Style24"/>
        <w:keepNext w:val="0"/>
        <w:keepLines w:val="0"/>
        <w:widowControl w:val="0"/>
        <w:shd w:val="clear" w:color="auto" w:fill="auto"/>
        <w:bidi w:val="0"/>
        <w:spacing w:before="0" w:after="0"/>
        <w:ind w:left="0" w:right="0" w:firstLine="0"/>
        <w:jc w:val="both"/>
      </w:pPr>
      <w:r>
        <w:rPr>
          <w:rStyle w:val="CharStyle25"/>
        </w:rPr>
        <w:t>Právní úkony směřující ke změně či ukončení Smlouvy vyžadují písemnou formu, která však není dodržena při elektronické formě komunikace, elektronická forma písemnosti však postačuje pro změny cen ze strany Lindě. Změnu cen Plynů, dalších produktů či nájemného Lindě oznámí zákazníkovi min. 15 dní předem prostřednictvím zejm. e-mailu, dopisu a/nebo zveřejněním nového ceníku v Prodejních místech Lindě. Pokud zákazník písemné odmítne změnu cen do 30 dnů, nové ceny se na zákazníka neuplatní, Lindě však bude mít právo vypovědět Smlouvu s tříměsíční výpovědní dobou. Pokud změna cen probíhá dle vzorce sjednaného ve Smlouvě, pak se výše uvedené neuplatí a ceny upravené dle vzorce nabývají účinnosti dnem určeném v oznámení zákazníkovi.</w:t>
      </w:r>
    </w:p>
    <w:p>
      <w:pPr>
        <w:pStyle w:val="Style24"/>
        <w:keepNext w:val="0"/>
        <w:keepLines w:val="0"/>
        <w:widowControl w:val="0"/>
        <w:shd w:val="clear" w:color="auto" w:fill="auto"/>
        <w:bidi w:val="0"/>
        <w:spacing w:before="0" w:after="0"/>
        <w:ind w:left="0" w:right="0" w:firstLine="0"/>
        <w:jc w:val="both"/>
      </w:pPr>
      <w:r>
        <w:rPr>
          <w:rStyle w:val="CharStyle25"/>
        </w:rPr>
        <w:t>Lindě může plnit své smluvní závazky prostřednictvím třetích osob, zejména „Partnerů Lindě", tj. osob které Lindě zmocnila k prodeji zboží, služeb a Distribučních prostředků s Plynem a jejich převozu k/od zákazníků a/nebo „Prodejních míst Lindě", což jsou prodejny provozované ze strany Lindě nebo Partnerů Lindě.</w:t>
      </w:r>
    </w:p>
    <w:p>
      <w:pPr>
        <w:pStyle w:val="Style37"/>
        <w:keepNext/>
        <w:keepLines/>
        <w:widowControl w:val="0"/>
        <w:numPr>
          <w:ilvl w:val="0"/>
          <w:numId w:val="3"/>
        </w:numPr>
        <w:shd w:val="clear" w:color="auto" w:fill="auto"/>
        <w:tabs>
          <w:tab w:pos="217" w:val="left"/>
        </w:tabs>
        <w:bidi w:val="0"/>
        <w:spacing w:before="0" w:after="0"/>
        <w:ind w:left="0" w:right="0" w:firstLine="0"/>
        <w:jc w:val="both"/>
      </w:pPr>
      <w:bookmarkStart w:id="8" w:name="bookmark8"/>
      <w:r>
        <w:rPr>
          <w:rStyle w:val="CharStyle38"/>
          <w:b/>
          <w:bCs/>
        </w:rPr>
        <w:t>DODÁVKY PLYNŮ V DISTRIBUČNÍCH PROSTŘEDCÍCH</w:t>
      </w:r>
      <w:bookmarkEnd w:id="8"/>
    </w:p>
    <w:p>
      <w:pPr>
        <w:pStyle w:val="Style24"/>
        <w:keepNext w:val="0"/>
        <w:keepLines w:val="0"/>
        <w:widowControl w:val="0"/>
        <w:shd w:val="clear" w:color="auto" w:fill="auto"/>
        <w:bidi w:val="0"/>
        <w:spacing w:before="0" w:after="0"/>
        <w:ind w:left="0" w:right="0" w:firstLine="0"/>
        <w:jc w:val="both"/>
      </w:pPr>
      <w:r>
        <w:rPr>
          <w:rStyle w:val="CharStyle25"/>
        </w:rPr>
        <w:t>„Distribučním prostředkem“ se rozumí přenosná tlaková nádoba či zařízení k zásobování Plynem v podobě Lahví, Palet, Pevných svazků lahví, Kontejnerů a Trajlerů. „Lahví" se rozumí kovová tlaková nádoba pro přepravu Plynů do 90 I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I vodního objemu. „Trajlerem“ se rozumí silniční vůz přepravující Pevné svazky lahví, které jsou navzájem propojeny.</w:t>
      </w:r>
    </w:p>
    <w:p>
      <w:pPr>
        <w:pStyle w:val="Style24"/>
        <w:keepNext w:val="0"/>
        <w:keepLines w:val="0"/>
        <w:widowControl w:val="0"/>
        <w:shd w:val="clear" w:color="auto" w:fill="auto"/>
        <w:bidi w:val="0"/>
        <w:spacing w:before="0" w:after="0"/>
        <w:ind w:left="0" w:right="0" w:firstLine="0"/>
        <w:jc w:val="both"/>
      </w:pPr>
      <w:r>
        <w:rPr>
          <w:rStyle w:val="CharStyle25"/>
        </w:rPr>
        <w:t>Objednávka zákazníka musí obsahovat alespoň druh Plynu, jeho množství a požadovaný termín a místo dodání a musí být doručena v dostatečném předstihu před požadovaným termínem dodání. Pokud místo dodání nebylo ve Smlouvě sjednáno pak platí, že místem dodání Plynů je Prodejní místo Lindě. Pokud nebyl dohodnut termín dodání, bude dopravu Distribučního prostředku k zákazníkovi provádět Partner Lindě, přičemž doručí Plyny v Lahvích, Paletách, Pevných svazcích lahví či Kontejnerech do dvou pracovních dnů a Plyny v Trajlerech do tří pracovních dnů. Nepřevezme-li zákazník Distribuční prostředek s Plynem ve sjednaném termínu, splní Lindě svou povinnost tím, že zákazníkovi umožni převzít si Distribuční prostředek s Plynem v Prodejním místě Lindě. Jestliže si zákazník či jím určený dopravce vyzvedává Distribuční prostředek v Prodejním místě Lindě, pak zákazník odpovídá za bezpečnou nakládku, převoz a vykládku Distribučního prostředku a je povinen dodržovat předpisy týkající se přepravy Plynu, zvláště pravidla bezpečnosti práce a provozní pravidla včetně CSN 078304. Při převzetí Distribučního prostředku (či jiného produktu Lindě) je zástupce zákazníka povinen se prokázat zákaznickou kartou Lindě, na které je uvedeno číslo zákazníka. U Plynu podléhajícího spotřební dani (např. LPG) je zákazník povinen sdělit Lindě účel jeho použití.</w:t>
      </w:r>
    </w:p>
    <w:p>
      <w:pPr>
        <w:pStyle w:val="Style37"/>
        <w:keepNext/>
        <w:keepLines/>
        <w:widowControl w:val="0"/>
        <w:numPr>
          <w:ilvl w:val="0"/>
          <w:numId w:val="3"/>
        </w:numPr>
        <w:shd w:val="clear" w:color="auto" w:fill="auto"/>
        <w:tabs>
          <w:tab w:pos="222" w:val="left"/>
        </w:tabs>
        <w:bidi w:val="0"/>
        <w:spacing w:before="0" w:after="0"/>
        <w:ind w:left="0" w:right="0" w:firstLine="0"/>
        <w:jc w:val="left"/>
      </w:pPr>
      <w:bookmarkStart w:id="10" w:name="bookmark10"/>
      <w:r>
        <w:rPr>
          <w:rStyle w:val="CharStyle38"/>
          <w:b/>
          <w:bCs/>
        </w:rPr>
        <w:t>DODÁVKY PLYNŮ DO TECHNICKÝCH ZAŘÍZENÍ</w:t>
      </w:r>
      <w:bookmarkEnd w:id="10"/>
    </w:p>
    <w:p>
      <w:pPr>
        <w:pStyle w:val="Style24"/>
        <w:keepNext w:val="0"/>
        <w:keepLines w:val="0"/>
        <w:widowControl w:val="0"/>
        <w:shd w:val="clear" w:color="auto" w:fill="auto"/>
        <w:bidi w:val="0"/>
        <w:spacing w:before="0" w:after="0"/>
        <w:ind w:left="0" w:right="0" w:firstLine="0"/>
        <w:jc w:val="both"/>
      </w:pPr>
      <w:r>
        <w:rPr>
          <w:rStyle w:val="CharStyle25"/>
        </w:rPr>
        <w:t>Zákazníci, kteří odebírají od Lindě Plyn ve větších objemech si od Lindě mohou pronajmout „Technická zařízení“, které slouží pro skladováni či distribuci Plynu u zákazníka. Technické zařízení, které Lindě na základě samostatné Smlouvy pronajalo zákazníkovi, se nestává součástí nemovitosti, na které je postaveno, i když je s ní pevně spojeno.</w:t>
      </w:r>
    </w:p>
    <w:p>
      <w:pPr>
        <w:pStyle w:val="Style24"/>
        <w:keepNext w:val="0"/>
        <w:keepLines w:val="0"/>
        <w:widowControl w:val="0"/>
        <w:shd w:val="clear" w:color="auto" w:fill="auto"/>
        <w:bidi w:val="0"/>
        <w:spacing w:before="0" w:after="0"/>
        <w:ind w:left="0" w:right="0" w:firstLine="0"/>
        <w:jc w:val="both"/>
      </w:pPr>
      <w:r>
        <w:rPr>
          <w:rStyle w:val="CharStyle25"/>
        </w:rPr>
        <w:t>„Zásobovacím zařízením" se rozumí typ Technického zařízení skládající se zpravidla ze zásobníku, odpařovače, směšovací stanice, plnících potrubí a armatur, do kterého Lindě dodává zpravidla kapalné Plyny. Pokud si zákazník objedná u Lindě službu dálkového sledování, Lindě bude dodávat Plyn do Zásobovacího zařízeni průběžně tak, aby měl zákazník v Zásobovacím zařízeni dostatečnou zásobu Plynu, s přihlédnutím kjeho obvyklé spotřebě. I v případě služby dálkového sledování je zákazník povinen provádět kontrolu stavu manometru ukazujícího stav náplně Zásobovacího zařízení, zapisovat stavy manometru do provozního deníku a oznámit Lindě nenadálý pokles náplně či její pokles pod 15% kapacity Zásobovacího zařízení. V ostatních případech dodává Lindě Plyn do Zásobovacího zařízení na základě dílčích objednávek zákazníka, kdy každá objednávka specifikuje jednu dodávku Plynu. Objednávka musí obsahovat alespoň druh Plynu, jeho množství, požadovaný termín a místo dodání a je třeba ji zaslat Lindě nejméně tři pracovní dny před požadovaným dnem dodání. U LPG zajisti Lindě dodávku do 15 dnů od potvrzeni objednávky.</w:t>
      </w:r>
    </w:p>
    <w:p>
      <w:pPr>
        <w:pStyle w:val="Style24"/>
        <w:keepNext w:val="0"/>
        <w:keepLines w:val="0"/>
        <w:widowControl w:val="0"/>
        <w:shd w:val="clear" w:color="auto" w:fill="auto"/>
        <w:bidi w:val="0"/>
        <w:spacing w:before="0" w:after="0"/>
        <w:ind w:left="0" w:right="0" w:firstLine="0"/>
        <w:jc w:val="both"/>
      </w:pPr>
      <w:r>
        <w:rPr>
          <w:rStyle w:val="CharStyle25"/>
        </w:rPr>
        <w:t>Dodané množství Plynu se určí dle kalibrovaného průtokoměru namontovaného na silniční cisterně, pokud není ve Smlouvě sjednáno jinak.</w:t>
      </w:r>
    </w:p>
    <w:p>
      <w:pPr>
        <w:pStyle w:val="Style24"/>
        <w:keepNext w:val="0"/>
        <w:keepLines w:val="0"/>
        <w:widowControl w:val="0"/>
        <w:shd w:val="clear" w:color="auto" w:fill="auto"/>
        <w:bidi w:val="0"/>
        <w:spacing w:before="0" w:after="0"/>
        <w:ind w:left="0" w:right="0" w:firstLine="0"/>
        <w:jc w:val="both"/>
      </w:pPr>
      <w:r>
        <w:rPr>
          <w:rStyle w:val="CharStyle25"/>
        </w:rPr>
        <w:t>Zákazník zajistí bezplatně vhodný a bezpečný přístup Lindě k Zásobovacímu zařízení 24 hod. denně a umožni Lindě užívat příjezdovou cestu k Zásobovacímu zařízení pro vozidla do 48 tun. Zákazník se zavazuje umožnit Lindě řádné a včasné plněni Zásobovacího zařízení Plynem, zejména udržovat Zásobovací zařízeni v řádném a provozuschopném stavu, bez vnitřních nečistot, a neprodlené hlásit Lindě skutečnosti, které mohou mít vliv na plnění závazků Lindě ze Smlouvy. Pokud Lindě nemůže provést dodávku Plynu do Zásobovacího zařízeni kvůli nesoučinnosti zákazníka, může vyúčtovat zákazníkovi neúspěšnou jízdu a náklady na uskladnění Plynu až do okamžiku jeho dodáni.</w:t>
      </w:r>
    </w:p>
    <w:p>
      <w:pPr>
        <w:pStyle w:val="Style24"/>
        <w:keepNext w:val="0"/>
        <w:keepLines w:val="0"/>
        <w:widowControl w:val="0"/>
        <w:shd w:val="clear" w:color="auto" w:fill="auto"/>
        <w:bidi w:val="0"/>
        <w:spacing w:before="0" w:after="0"/>
        <w:ind w:left="0" w:right="0" w:firstLine="0"/>
        <w:jc w:val="left"/>
      </w:pPr>
      <w:r>
        <w:rPr>
          <w:rStyle w:val="CharStyle25"/>
        </w:rPr>
        <w:t>Zákazník je povinen v případě plánovaného přerušení odběrů Plynu ze Zásobovacího zařízení z důvodu krátkodobé odstávky zařízeni zákazníka spotřebovávajícího Plyn nebo v případě plánovaného zvýšení spotřeby o více než 30 % oproti předchozí průměrné denní spotřebě, takovouto skutečnost Lindě písemné sdělit, nejpozději 24 hodin předem s uvedením důvodu a doby trváni takové situace.</w:t>
      </w:r>
    </w:p>
    <w:p>
      <w:pPr>
        <w:pStyle w:val="Style37"/>
        <w:keepNext/>
        <w:keepLines/>
        <w:widowControl w:val="0"/>
        <w:numPr>
          <w:ilvl w:val="0"/>
          <w:numId w:val="3"/>
        </w:numPr>
        <w:shd w:val="clear" w:color="auto" w:fill="auto"/>
        <w:tabs>
          <w:tab w:pos="193" w:val="left"/>
        </w:tabs>
        <w:bidi w:val="0"/>
        <w:spacing w:before="0" w:after="0" w:line="257" w:lineRule="auto"/>
        <w:ind w:left="0" w:right="0" w:firstLine="0"/>
        <w:jc w:val="both"/>
      </w:pPr>
      <w:bookmarkStart w:id="12" w:name="bookmark12"/>
      <w:r>
        <w:rPr>
          <w:rStyle w:val="CharStyle38"/>
          <w:b/>
          <w:bCs/>
        </w:rPr>
        <w:t>PRONÁJEM DISTRIBUČNÍCH PROSTŘEDKŮ</w:t>
      </w:r>
      <w:bookmarkEnd w:id="12"/>
    </w:p>
    <w:p>
      <w:pPr>
        <w:pStyle w:val="Style24"/>
        <w:keepNext w:val="0"/>
        <w:keepLines w:val="0"/>
        <w:widowControl w:val="0"/>
        <w:shd w:val="clear" w:color="auto" w:fill="auto"/>
        <w:bidi w:val="0"/>
        <w:spacing w:before="0" w:after="0" w:line="257" w:lineRule="auto"/>
        <w:ind w:left="0" w:right="0" w:firstLine="0"/>
        <w:jc w:val="both"/>
      </w:pPr>
      <w:r>
        <w:rPr>
          <w:rStyle w:val="CharStyle25"/>
        </w:rPr>
        <w:t>Nájemní vztah mezi Lindě a zákazníkem vzniká podpisem Smlouvy, dodacího či přepravního listu k Distribučnímu prostředku zákazníkem či jeho zástupcem.</w:t>
      </w:r>
    </w:p>
    <w:p>
      <w:pPr>
        <w:pStyle w:val="Style24"/>
        <w:keepNext w:val="0"/>
        <w:keepLines w:val="0"/>
        <w:widowControl w:val="0"/>
        <w:shd w:val="clear" w:color="auto" w:fill="auto"/>
        <w:bidi w:val="0"/>
        <w:spacing w:before="0" w:after="0" w:line="257" w:lineRule="auto"/>
        <w:ind w:left="0" w:right="0" w:firstLine="0"/>
        <w:jc w:val="both"/>
      </w:pPr>
      <w:r>
        <w:rPr>
          <w:rStyle w:val="CharStyle25"/>
        </w:rPr>
        <w:t>Za užívání Distribučních prostředků Lindě je zákazník povinen platit denní nájemné, které bude účtováno ze strany Lindě při převzetí Distribučního prostředku a/nebo nejméně jednou měsíčné. U dlouhodobého nájmu Distribučního prostředkuje nájemné za celou dobu nájmu vyúčtováno ihned po uzavření Smlouvy. U Distribučních prostředků Lindě, které má zákazník v držení déle než tři měsíce bez obrátky (tzn. výměny prázdných za plné), je Lindě oprávněna účtovat zákazníkovi dodatkové nájemné. Výše denního nájemného a dodatkového nájemného se řídí dle ceníku Lindě zveřejněného v Prodejních místech Lindě. Lindě je oprávněna sazby nájemného upravovat i v průběhu nájemního vztahu, a to doručením oznámení o zvýšení nájemného zákazníkovi, a to alespoň 15 dní před jeho účinností. Lindě je oprávněna požadovat po zákazníkovi neúročenou kauci až do výše pořizovací ceny Distribučního prostředku. Lindě vrátí kauci zákazníkovi po předání Distribučního prostředku a kaučního lístku Prodejnímu místu Lindě, přičemž je oprávněna započíst si proti kauci své pohledávky za zákazníkem, zejména náklady na odstraňování škod na Distribučním prostředku vč. vnitřního znečištění.</w:t>
      </w:r>
    </w:p>
    <w:p>
      <w:pPr>
        <w:pStyle w:val="Style24"/>
        <w:keepNext w:val="0"/>
        <w:keepLines w:val="0"/>
        <w:widowControl w:val="0"/>
        <w:shd w:val="clear" w:color="auto" w:fill="auto"/>
        <w:bidi w:val="0"/>
        <w:spacing w:before="0" w:after="0" w:line="257" w:lineRule="auto"/>
        <w:ind w:left="0" w:right="0" w:firstLine="0"/>
        <w:jc w:val="both"/>
      </w:pPr>
      <w:r>
        <w:rPr>
          <w:rStyle w:val="CharStyle25"/>
        </w:rPr>
        <w:t>Distribuční prostředky zákazník vrací na své náklady v Prodejním místě Lindě v jeho prodejní době; při vrácení nevzniká zákazníkovi nárok na úhradu za Plyny obsažené ve vráceném Distribučním prostředku ani na vracení nevyčerpaného nájemného. Zadržovací právo na pronajaté Distribuční prostředky se po dobu trvání Smlouvy vylučuje. Zákazník odpovídá Lindě za zcizení, ztrátu, poškození, zničení nebo včasné nevrácení Distribučního prostředku, jeho příslušenství či čárového kódu a jiných označení na něm umístěných. Přenechání Distribučních prostředků třetí osobě není dovoleno. Distribuční prostředky Lindě se mohou používat pouze pro Plyn dodaný Lindě. Zákazník se zavazuje poučit své pracovníky o správné manipulaci s Distribučními prostředky. Správnost výpisu z konta pronajatých Distribučních prostředků, který je součástí vyúčtování nájemného, musí být zákazníkem bez prodlení přezkoumána. Námitky jsou možné do 30 dnů po obdržení vyúčtováni nájemného, jinak se má za to, že vyúčtování vč. výpisu z konta bylo zákazníkem uznáno za správné a počet Distribučních prostředků zde uvedených je podkladem pro vyúčtování nájemného v následujícím zúčtovacím období.</w:t>
      </w:r>
    </w:p>
    <w:p>
      <w:pPr>
        <w:pStyle w:val="Style37"/>
        <w:keepNext/>
        <w:keepLines/>
        <w:widowControl w:val="0"/>
        <w:numPr>
          <w:ilvl w:val="0"/>
          <w:numId w:val="3"/>
        </w:numPr>
        <w:shd w:val="clear" w:color="auto" w:fill="auto"/>
        <w:tabs>
          <w:tab w:pos="222" w:val="left"/>
        </w:tabs>
        <w:bidi w:val="0"/>
        <w:spacing w:before="0" w:after="0" w:line="264" w:lineRule="auto"/>
        <w:ind w:left="0" w:right="0" w:firstLine="0"/>
        <w:jc w:val="both"/>
      </w:pPr>
      <w:bookmarkStart w:id="14" w:name="bookmark14"/>
      <w:r>
        <w:rPr>
          <w:rStyle w:val="CharStyle38"/>
          <w:b/>
          <w:bCs/>
        </w:rPr>
        <w:t>DISTRIBUČNÍ PROSTŘEDKY ZÁKAZNÍKŮ</w:t>
      </w:r>
      <w:bookmarkEnd w:id="14"/>
    </w:p>
    <w:p>
      <w:pPr>
        <w:pStyle w:val="Style24"/>
        <w:keepNext w:val="0"/>
        <w:keepLines w:val="0"/>
        <w:widowControl w:val="0"/>
        <w:shd w:val="clear" w:color="auto" w:fill="auto"/>
        <w:bidi w:val="0"/>
        <w:spacing w:before="0" w:after="0" w:line="264" w:lineRule="auto"/>
        <w:ind w:left="0" w:right="0" w:firstLine="0"/>
        <w:jc w:val="both"/>
      </w:pPr>
      <w:r>
        <w:rPr>
          <w:rStyle w:val="CharStyle25"/>
        </w:rPr>
        <w:t>V případě dohody bude Lindě plnit Plynem i Distribuční prostředky zákazníků, které jsou svým označením odlišitelné od Distribučních prostředků Lindě. Zákazník souhlasí stím, že součástí plněni Lindě bude i přezkoušení Distribučního prostředku podle platných předpisů před jeho naplněním, a zavazuje se uhradit Lindě cenu tohoto přezkoušení.</w:t>
      </w:r>
    </w:p>
    <w:p>
      <w:pPr>
        <w:pStyle w:val="Style37"/>
        <w:keepNext/>
        <w:keepLines/>
        <w:widowControl w:val="0"/>
        <w:numPr>
          <w:ilvl w:val="0"/>
          <w:numId w:val="3"/>
        </w:numPr>
        <w:shd w:val="clear" w:color="auto" w:fill="auto"/>
        <w:tabs>
          <w:tab w:pos="222" w:val="left"/>
        </w:tabs>
        <w:bidi w:val="0"/>
        <w:spacing w:before="0" w:after="0"/>
        <w:ind w:left="0" w:right="0" w:firstLine="0"/>
        <w:jc w:val="left"/>
      </w:pPr>
      <w:bookmarkStart w:id="16" w:name="bookmark16"/>
      <w:r>
        <w:rPr>
          <w:rStyle w:val="CharStyle38"/>
          <w:b/>
          <w:bCs/>
        </w:rPr>
        <w:t>CENY A PLATEBNÍ PODMÍNKY</w:t>
      </w:r>
      <w:bookmarkEnd w:id="16"/>
    </w:p>
    <w:p>
      <w:pPr>
        <w:pStyle w:val="Style24"/>
        <w:keepNext w:val="0"/>
        <w:keepLines w:val="0"/>
        <w:widowControl w:val="0"/>
        <w:shd w:val="clear" w:color="auto" w:fill="auto"/>
        <w:bidi w:val="0"/>
        <w:spacing w:before="0" w:after="0"/>
        <w:ind w:left="0" w:right="0" w:firstLine="0"/>
        <w:jc w:val="both"/>
      </w:pPr>
      <w:r>
        <w:rPr>
          <w:rStyle w:val="CharStyle25"/>
        </w:rPr>
        <w:t>Pokud není cena Plynů čí ostatních plnění uvedena ve Smlouvě, řídi se dle aktuálního ceníku Lindě, který je k dispozici v Prodejních místech Lindě. Pokud dojde k zavedení nové daně, poplatku či obdobné povinnosti (daň na skleníkové plyny aj.) nebo dojde ke změně daně či poplatku (mýto, recyklační poplatek, environmentální či infrastrukturální poplatek aj.), v jehož důsledku dojde ke zvýšeni ceny Plynu nebo nákladů Lindě na výrobu či distribuci Plynů, je Lindě oprávněna promítnout toto zvýšení do ceny dodávaných Plynů, jakož i dalších plnění. Při nedostatku Plynu způsobeného zejm. poruchami či odstávkami výrobních zdrojů, je Lindě oprávněna snížit smluvené množství dodávek nebo aplikovat měsíční či týdenní limit dodávek Plynu odvozený od smluveného množství s tím, že pokud zákazník odebere Plyn nad určený limit, je Lindě oprávněna vyúčtovat mu poplatek určený Lindě pro tuto situaci. Společně s cenou dodaného Plynu je Lindě oprávněna zákazníkovi účtovat poplatky dle platného ceníku Lindě zveřejněného v Prodejních místech Lindě, zejména poplatek ADR, silniční a energetický poplatek za každý Distribuční prostředek a dodávku kapalných Plynů do Zásobovacího zařízení, sezónní příplatek za kapalný CO2 a/nebo poplatek za příslušný atest.</w:t>
      </w:r>
    </w:p>
    <w:p>
      <w:pPr>
        <w:pStyle w:val="Style24"/>
        <w:keepNext w:val="0"/>
        <w:keepLines w:val="0"/>
        <w:widowControl w:val="0"/>
        <w:shd w:val="clear" w:color="auto" w:fill="auto"/>
        <w:bidi w:val="0"/>
        <w:spacing w:before="0" w:after="0"/>
        <w:ind w:left="0" w:right="0" w:firstLine="0"/>
        <w:jc w:val="both"/>
      </w:pPr>
      <w:r>
        <w:rPr>
          <w:rStyle w:val="CharStyle25"/>
        </w:rPr>
        <w:t>Je-li tak stanoveno Smlouvou či právními předpisy, bude Lindě vystavovat zákazníkovi po dodáni produktu (Plyn, zboží, služba) vyúčtování s náležitostmi daňového dokladu, které obsahuje cenu produktů, poplatky a jiné částky, na které má Lindě nárok (např. nájemné za Distribuční prostředky či smluvní pokuty). Splatnost daňových dokladů je čtrnáct dnů od data vystavení, není-li na daňovém dokladu uvedena lhůta delší. Má se za to, že daňový doklad je doručený do dvou dnů od odeslání. Případné námitky proti ceně vyúčtované ze strany Lindě je zákazník oprávněn vznést pouze do 30 dnů od doručení vyúčtování. Sdělením své e-mailové adresy zákazník uděluje Lindě právo zasílat zákazníkovi faktury v elektronické podobě e-mailem. V případě prodlení zákazníka se zaplacením splatné platby vyúčtované mu ze strany Lindě, je Lindě oprávněna požadovat smluvní pokutu ve výši 0,03 % z dlužné částky za každý den prodleni a dále náhradu způsobené škody. U zákazníků, kteří Lindě neprokáží spolehlivé svou platební schopnost nebo platební morálku, může Lindě požadovat zálohovou platbu s tím, že tuto zálohovou platbu je Lindě oprávněna vyúčtovat proti svým pohledávkám za zákazníkem. Až do úplného uhrazení kupní ceny produktu ze strany zákazníka zůstává dodaný produkt ve vlastnictví Lindě.</w:t>
      </w:r>
    </w:p>
    <w:p>
      <w:pPr>
        <w:pStyle w:val="Style37"/>
        <w:keepNext/>
        <w:keepLines/>
        <w:widowControl w:val="0"/>
        <w:numPr>
          <w:ilvl w:val="0"/>
          <w:numId w:val="3"/>
        </w:numPr>
        <w:shd w:val="clear" w:color="auto" w:fill="auto"/>
        <w:tabs>
          <w:tab w:pos="226" w:val="left"/>
        </w:tabs>
        <w:bidi w:val="0"/>
        <w:spacing w:before="0" w:after="0" w:line="240" w:lineRule="auto"/>
        <w:ind w:left="0" w:right="0" w:firstLine="0"/>
        <w:jc w:val="left"/>
      </w:pPr>
      <w:bookmarkStart w:id="18" w:name="bookmark18"/>
      <w:r>
        <w:rPr>
          <w:rStyle w:val="CharStyle38"/>
          <w:b/>
          <w:bCs/>
        </w:rPr>
        <w:t>ODPOVĚDNOST ZA VADY A ŠKODY</w:t>
      </w:r>
      <w:bookmarkEnd w:id="18"/>
    </w:p>
    <w:p>
      <w:pPr>
        <w:pStyle w:val="Style24"/>
        <w:keepNext w:val="0"/>
        <w:keepLines w:val="0"/>
        <w:widowControl w:val="0"/>
        <w:shd w:val="clear" w:color="auto" w:fill="auto"/>
        <w:bidi w:val="0"/>
        <w:spacing w:before="0" w:after="0" w:line="240" w:lineRule="auto"/>
        <w:ind w:left="0" w:right="0" w:firstLine="0"/>
        <w:jc w:val="both"/>
      </w:pPr>
      <w:r>
        <w:rPr>
          <w:rStyle w:val="CharStyle25"/>
        </w:rPr>
        <w:t>Lindě zaručuje, že Plyn vyhovuje specifikaci v příslušném datovém listu, popř. atestu, avšak neposkytuje žádnou záruku vhodnosti Plynu pro určitý účel. Pokud Lindě přenechá (prodá) zákazníkovi použitý Distribuční prostředek nebo Technické zařízení, pak Lindě neodpovídá za jeho vady a škody jím způsobené. Jestliže je ve Smlouvě na dodávku Plynu v Distribučních prostředcích smluvené množství Plynu určeno v "m</w:t>
      </w:r>
      <w:r>
        <w:rPr>
          <w:rStyle w:val="CharStyle25"/>
          <w:vertAlign w:val="superscript"/>
        </w:rPr>
        <w:t>3</w:t>
      </w:r>
      <w:r>
        <w:rPr>
          <w:rStyle w:val="CharStyle25"/>
        </w:rPr>
        <w:t>”, pak se vztahuje na stav Plynu při 15 °C a tlaku 0,1 MPa. Pokud je Plyn dodaný zákazníkovi vadný nebo neodpovídá množství dodaného Plynu, má zákazník právo uplatnit reklamaci, která se řídí reklamačním řádem Lindě, který je k dispozici na webových stránkách Lindě. Pro reklamaci kvality Plynů nesmí být spotřebováno více než 50 % náplně, a to z důvodu možného provedeni řádných kontrolních analýz. Distribuční prostředky s vadným Plynem nesmějí být dále používány a po nápadném označení musí být vráceny Prodejnímu místu Lindě. V případě opožděných dodávek nebo výpadku v dodávkách Plynu může zákazník, pokud Lindě nesplní dodávku v dodatečné lhůté po výzvě zákazníka, odstoupit od Smlouvy.</w:t>
      </w:r>
    </w:p>
    <w:p>
      <w:pPr>
        <w:pStyle w:val="Style24"/>
        <w:keepNext w:val="0"/>
        <w:keepLines w:val="0"/>
        <w:widowControl w:val="0"/>
        <w:shd w:val="clear" w:color="auto" w:fill="auto"/>
        <w:bidi w:val="0"/>
        <w:spacing w:before="0" w:after="0" w:line="240" w:lineRule="auto"/>
        <w:ind w:left="0" w:right="0" w:firstLine="0"/>
        <w:jc w:val="both"/>
      </w:pPr>
      <w:r>
        <w:rPr>
          <w:rStyle w:val="CharStyle25"/>
        </w:rPr>
        <w:t xml:space="preserve">V případě, že je zákazník spotřebitelem, je subjektem příslušným pro mimosoudní řešení sporu zákazníka s Lindě Česká obchodní inspekce, bližší informace na </w:t>
      </w:r>
      <w:r>
        <w:fldChar w:fldCharType="begin"/>
      </w:r>
      <w:r>
        <w:rPr/>
        <w:instrText> HYPERLINK "http://www.coi.cz" </w:instrText>
      </w:r>
      <w:r>
        <w:fldChar w:fldCharType="separate"/>
      </w:r>
      <w:r>
        <w:rPr>
          <w:rStyle w:val="CharStyle25"/>
          <w:lang w:val="en-US" w:eastAsia="en-US" w:bidi="en-US"/>
        </w:rPr>
        <w:t>www.coi.cz</w:t>
      </w:r>
      <w:r>
        <w:fldChar w:fldCharType="end"/>
      </w:r>
      <w:r>
        <w:rPr>
          <w:rStyle w:val="CharStyle25"/>
          <w:lang w:val="en-US" w:eastAsia="en-US" w:bidi="en-US"/>
        </w:rPr>
        <w:t>.</w:t>
      </w:r>
    </w:p>
    <w:p>
      <w:pPr>
        <w:pStyle w:val="Style24"/>
        <w:keepNext w:val="0"/>
        <w:keepLines w:val="0"/>
        <w:widowControl w:val="0"/>
        <w:shd w:val="clear" w:color="auto" w:fill="auto"/>
        <w:bidi w:val="0"/>
        <w:spacing w:before="0" w:after="0" w:line="240" w:lineRule="auto"/>
        <w:ind w:left="0" w:right="0" w:firstLine="0"/>
        <w:jc w:val="both"/>
      </w:pPr>
      <w:r>
        <w:rPr>
          <w:rStyle w:val="CharStyle25"/>
        </w:rPr>
        <w:t>Je-li zákazník v prodlení s úhradou jakékoli platby vyúčtované mu ze strany Lindě, je Lindě oprávněna zastavit dodávky Plynu, další nájem Distribučních prostředků či prodej jiných produktů (zboží, služeb) zákazníkovi, a to až do úplného zaplacení dlužné částky. Při zcizení, poškození, nebo nevrácení Distribučního prostředkuje zákazník povinen uhradit Lindě smluvní pokutu za každou Láhev 4.000 Kč, za každou Paletu 5.000 Kč, za každý Pevný svazek 80.000 Kč a za každý Kontejner či Trajler 100.000 Kč, a vedle toho je Lindě oprávněna požadovat po zákazníkovi způsobenou škodu. Pokud v souvislosti s plněním Smlouvy vznikne jedné smluvní straně povinnost nahradit újmu druhé smluvní straně, která nebude způsobena úmyslně, z hrubé nedbalosti či na přirozených právech člověka, pak si smluvní strany navzájem odpovídají za újmu pouze v podobě přímé škody s tím, že nepřímé, následné škody či ušlý zisk jsou vyloučeny. Celková újma vzniklá ze všech dílčích škodných událostí v průběhu trvání Smlouvy je omezena na dvacet milionů Kč a celková újma vzniklá z jedné škodné události je omezena na částku deset milionů Kč. Právo na náhradu újmy a vydání bezdůvodného obohacení se promlčuje v tříleté promlčecí době, která běží od okamžiku vzniku škody.</w:t>
      </w:r>
    </w:p>
    <w:p>
      <w:pPr>
        <w:pStyle w:val="Style24"/>
        <w:keepNext w:val="0"/>
        <w:keepLines w:val="0"/>
        <w:widowControl w:val="0"/>
        <w:shd w:val="clear" w:color="auto" w:fill="auto"/>
        <w:bidi w:val="0"/>
        <w:spacing w:before="0" w:after="0" w:line="240" w:lineRule="auto"/>
        <w:ind w:left="0" w:right="0" w:firstLine="0"/>
        <w:jc w:val="both"/>
      </w:pPr>
      <w:r>
        <w:rPr>
          <w:rStyle w:val="CharStyle25"/>
        </w:rPr>
        <w:t>Všechny případy vyšší moci, tj. mimořádné překážky vzniklé nezávisle na vůli smluvní strany, jakož i provozní, dopravní a energetické stávky, poruchy a výluky či poruchy a výluky výrobních zdrojů, osvobozují smluvní stranu, které bráni v plněni její smluvní povinnosti, od odpovědnosti za splnění smluvní povinnosti (vč. zpoždění) po dobu a v rozsahu účinnosti těchto událostí. To platí také tehdy, když uvedené události nastanou u subdodavatelů smluvních stran. Událost vyšší moci nemá vliv na povinnost hradit nájemné za pronajaté Technické zařízení, Distribuční prostředek či ceny za Plyn.</w:t>
      </w:r>
    </w:p>
    <w:p>
      <w:pPr>
        <w:pStyle w:val="Style37"/>
        <w:keepNext/>
        <w:keepLines/>
        <w:widowControl w:val="0"/>
        <w:numPr>
          <w:ilvl w:val="0"/>
          <w:numId w:val="3"/>
        </w:numPr>
        <w:shd w:val="clear" w:color="auto" w:fill="auto"/>
        <w:tabs>
          <w:tab w:pos="222" w:val="left"/>
        </w:tabs>
        <w:bidi w:val="0"/>
        <w:spacing w:before="0" w:after="0" w:line="252" w:lineRule="auto"/>
        <w:ind w:left="0" w:right="0" w:firstLine="0"/>
        <w:jc w:val="left"/>
      </w:pPr>
      <w:bookmarkStart w:id="20" w:name="bookmark20"/>
      <w:r>
        <w:rPr>
          <w:rStyle w:val="CharStyle38"/>
          <w:b/>
          <w:bCs/>
        </w:rPr>
        <w:t>ZPRACOVÁNÍ OSOBNÍCH ÚDAJŮ</w:t>
      </w:r>
      <w:bookmarkEnd w:id="20"/>
    </w:p>
    <w:p>
      <w:pPr>
        <w:pStyle w:val="Style24"/>
        <w:keepNext w:val="0"/>
        <w:keepLines w:val="0"/>
        <w:widowControl w:val="0"/>
        <w:shd w:val="clear" w:color="auto" w:fill="auto"/>
        <w:bidi w:val="0"/>
        <w:spacing w:before="0" w:after="0" w:line="252" w:lineRule="auto"/>
        <w:ind w:left="0" w:right="0" w:firstLine="0"/>
        <w:jc w:val="both"/>
      </w:pPr>
      <w:r>
        <w:rPr>
          <w:rStyle w:val="CharStyle25"/>
        </w:rPr>
        <w:t xml:space="preserve">Každá ze smluvních stran se zavazuje informovat všechny své zástupce a jiné fyzické osoby, jejichž osobní údaje zpřístupňuje druhé smluvní straně (dále jen "Subjekty údajů"), o zpracovávání jejich osobních údajů ze strany druhé smluvní strany, a to v rozsahu vyžadovaném čl. 13 či 14 obecného nařízení o ochraně osobních údajů EU/2016/679 („GDPR"). Informace o tom, jak Lindě zpracovává osobní údaje svých zákazníků, resp. zástupců zákazníků, jsou uvedeny na webových stránkách na </w:t>
      </w:r>
      <w:r>
        <w:fldChar w:fldCharType="begin"/>
      </w:r>
      <w:r>
        <w:rPr/>
        <w:instrText> HYPERLINK "https://www.linde-gas.cz/cs/footer/dataprotection" </w:instrText>
      </w:r>
      <w:r>
        <w:fldChar w:fldCharType="separate"/>
      </w:r>
      <w:r>
        <w:rPr>
          <w:rStyle w:val="CharStyle25"/>
          <w:lang w:val="en-US" w:eastAsia="en-US" w:bidi="en-US"/>
        </w:rPr>
        <w:t>https://www.linde-gas.cz/cs/footer/dataprotection</w:t>
      </w:r>
      <w:r>
        <w:fldChar w:fldCharType="end"/>
      </w:r>
      <w:r>
        <w:rPr>
          <w:rStyle w:val="CharStyle25"/>
          <w:lang w:val="en-US" w:eastAsia="en-US" w:bidi="en-US"/>
        </w:rPr>
        <w:t>.</w:t>
      </w:r>
    </w:p>
    <w:p>
      <w:pPr>
        <w:pStyle w:val="Style37"/>
        <w:keepNext/>
        <w:keepLines/>
        <w:widowControl w:val="0"/>
        <w:numPr>
          <w:ilvl w:val="0"/>
          <w:numId w:val="3"/>
        </w:numPr>
        <w:shd w:val="clear" w:color="auto" w:fill="auto"/>
        <w:tabs>
          <w:tab w:pos="222" w:val="left"/>
        </w:tabs>
        <w:bidi w:val="0"/>
        <w:spacing w:before="0" w:after="0" w:line="240" w:lineRule="auto"/>
        <w:ind w:left="0" w:right="0" w:firstLine="0"/>
        <w:jc w:val="both"/>
      </w:pPr>
      <w:bookmarkStart w:id="22" w:name="bookmark22"/>
      <w:r>
        <w:rPr>
          <w:rStyle w:val="CharStyle38"/>
          <w:b/>
          <w:bCs/>
        </w:rPr>
        <w:t>ZMĚNY PODMÍNEK</w:t>
      </w:r>
      <w:bookmarkEnd w:id="22"/>
    </w:p>
    <w:p>
      <w:pPr>
        <w:pStyle w:val="Style24"/>
        <w:keepNext w:val="0"/>
        <w:keepLines w:val="0"/>
        <w:widowControl w:val="0"/>
        <w:shd w:val="clear" w:color="auto" w:fill="auto"/>
        <w:bidi w:val="0"/>
        <w:spacing w:before="0" w:after="560" w:line="240" w:lineRule="auto"/>
        <w:ind w:left="0" w:right="0" w:firstLine="0"/>
        <w:jc w:val="both"/>
      </w:pPr>
      <w:r>
        <w:rPr>
          <w:rStyle w:val="CharStyle25"/>
        </w:rPr>
        <w:t xml:space="preserve">Tyto Podmínky jsou účinné od 1.1.2021 a jsou k dispozici v Prodejních místech Lindě a na webových stránkách </w:t>
      </w:r>
      <w:r>
        <w:fldChar w:fldCharType="begin"/>
      </w:r>
      <w:r>
        <w:rPr/>
        <w:instrText> HYPERLINK "https://www.linde-gas.cz/cs/footer/legalnotice.html" </w:instrText>
      </w:r>
      <w:r>
        <w:fldChar w:fldCharType="separate"/>
      </w:r>
      <w:r>
        <w:rPr>
          <w:rStyle w:val="CharStyle25"/>
          <w:lang w:val="en-US" w:eastAsia="en-US" w:bidi="en-US"/>
        </w:rPr>
        <w:t>https://www.linde-gas.cz/cs/footer/legalnotice.html</w:t>
      </w:r>
      <w:r>
        <w:fldChar w:fldCharType="end"/>
      </w:r>
      <w:r>
        <w:rPr>
          <w:rStyle w:val="CharStyle25"/>
          <w:lang w:val="en-US" w:eastAsia="en-US" w:bidi="en-US"/>
        </w:rPr>
        <w:t xml:space="preserve">. </w:t>
      </w:r>
      <w:r>
        <w:rPr>
          <w:rStyle w:val="CharStyle25"/>
        </w:rPr>
        <w:t>Lindě je oprávněna změnit či doplnit tyto Podmínky, je však povinna seznámit zákazníka s novým zněním Podmínek alespoň 15 dní předem, například jejich vyvěšením na webových stránkách Lindě či zasláním nového znění Podmínek e-mailem, na dodacím listu či na faktuře. Jestliže zákazník nové znění Podmínek do 30 dnů písemně odmítne, nové znění se u něj neuplatni.</w:t>
      </w:r>
    </w:p>
    <w:p>
      <w:pPr>
        <w:pStyle w:val="Style24"/>
        <w:keepNext w:val="0"/>
        <w:keepLines w:val="0"/>
        <w:widowControl w:val="0"/>
        <w:shd w:val="clear" w:color="auto" w:fill="auto"/>
        <w:bidi w:val="0"/>
        <w:spacing w:before="0" w:after="0" w:line="240" w:lineRule="auto"/>
        <w:ind w:left="0" w:right="0" w:firstLine="0"/>
        <w:jc w:val="left"/>
        <w:rPr>
          <w:sz w:val="10"/>
          <w:szCs w:val="10"/>
        </w:rPr>
      </w:pPr>
      <w:r>
        <w:rPr>
          <w:rStyle w:val="CharStyle25"/>
          <w:sz w:val="10"/>
          <w:szCs w:val="10"/>
        </w:rPr>
        <w:t>Lindě Gas a.s., sídlo; U Technoplynu 1324. 19800 Praha 9 - Kyje, IČO; 00011754. zapsaná v obchodním rejstříku vedeném Městským soudem v Praze oddíl B, vložka 411 (dále též Lindě“)</w:t>
      </w:r>
    </w:p>
    <w:sectPr>
      <w:footnotePr>
        <w:pos w:val="pageBottom"/>
        <w:numFmt w:val="decimal"/>
        <w:numRestart w:val="continuous"/>
      </w:footnotePr>
      <w:pgSz w:w="11900" w:h="16840"/>
      <w:pgMar w:top="1238" w:right="614" w:bottom="570" w:left="990" w:header="810" w:footer="142"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1"/>
        <w:szCs w:val="11"/>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1"/>
      <w:szCs w:val="11"/>
      <w:u w:val="none"/>
    </w:rPr>
  </w:style>
  <w:style w:type="character" w:customStyle="1" w:styleId="CharStyle8">
    <w:name w:val="Titulek tabulky_"/>
    <w:basedOn w:val="DefaultParagraphFont"/>
    <w:link w:val="Style7"/>
    <w:rPr>
      <w:rFonts w:ascii="Arial" w:eastAsia="Arial" w:hAnsi="Arial" w:cs="Arial"/>
      <w:b w:val="0"/>
      <w:bCs w:val="0"/>
      <w:i w:val="0"/>
      <w:iCs w:val="0"/>
      <w:smallCaps w:val="0"/>
      <w:strike w:val="0"/>
      <w:sz w:val="15"/>
      <w:szCs w:val="15"/>
      <w:u w:val="none"/>
    </w:rPr>
  </w:style>
  <w:style w:type="character" w:customStyle="1" w:styleId="CharStyle10">
    <w:name w:val="Základní text (2)_"/>
    <w:basedOn w:val="DefaultParagraphFont"/>
    <w:link w:val="Style9"/>
    <w:rPr>
      <w:rFonts w:ascii="Arial" w:eastAsia="Arial" w:hAnsi="Arial" w:cs="Arial"/>
      <w:b w:val="0"/>
      <w:bCs w:val="0"/>
      <w:i w:val="0"/>
      <w:iCs w:val="0"/>
      <w:smallCaps w:val="0"/>
      <w:strike w:val="0"/>
      <w:sz w:val="15"/>
      <w:szCs w:val="15"/>
      <w:u w:val="none"/>
    </w:rPr>
  </w:style>
  <w:style w:type="character" w:customStyle="1" w:styleId="CharStyle14">
    <w:name w:val="Nadpis #1_"/>
    <w:basedOn w:val="DefaultParagraphFont"/>
    <w:link w:val="Style13"/>
    <w:rPr>
      <w:rFonts w:ascii="Arial" w:eastAsia="Arial" w:hAnsi="Arial" w:cs="Arial"/>
      <w:b w:val="0"/>
      <w:bCs w:val="0"/>
      <w:i w:val="0"/>
      <w:iCs w:val="0"/>
      <w:smallCaps w:val="0"/>
      <w:strike w:val="0"/>
      <w:sz w:val="44"/>
      <w:szCs w:val="44"/>
      <w:u w:val="none"/>
    </w:rPr>
  </w:style>
  <w:style w:type="character" w:customStyle="1" w:styleId="CharStyle16">
    <w:name w:val="Základní text (5)_"/>
    <w:basedOn w:val="DefaultParagraphFont"/>
    <w:link w:val="Style15"/>
    <w:rPr>
      <w:rFonts w:ascii="Arial" w:eastAsia="Arial" w:hAnsi="Arial" w:cs="Arial"/>
      <w:b w:val="0"/>
      <w:bCs w:val="0"/>
      <w:i w:val="0"/>
      <w:iCs w:val="0"/>
      <w:smallCaps w:val="0"/>
      <w:strike w:val="0"/>
      <w:sz w:val="22"/>
      <w:szCs w:val="22"/>
      <w:u w:val="none"/>
    </w:rPr>
  </w:style>
  <w:style w:type="character" w:customStyle="1" w:styleId="CharStyle19">
    <w:name w:val="Základní text (3)_"/>
    <w:basedOn w:val="DefaultParagraphFont"/>
    <w:link w:val="Style18"/>
    <w:rPr>
      <w:rFonts w:ascii="Arial" w:eastAsia="Arial" w:hAnsi="Arial" w:cs="Arial"/>
      <w:b w:val="0"/>
      <w:bCs w:val="0"/>
      <w:i w:val="0"/>
      <w:iCs w:val="0"/>
      <w:smallCaps w:val="0"/>
      <w:strike w:val="0"/>
      <w:sz w:val="11"/>
      <w:szCs w:val="11"/>
      <w:u w:val="none"/>
    </w:rPr>
  </w:style>
  <w:style w:type="character" w:customStyle="1" w:styleId="CharStyle23">
    <w:name w:val="Nadpis #2_"/>
    <w:basedOn w:val="DefaultParagraphFont"/>
    <w:link w:val="Style22"/>
    <w:rPr>
      <w:rFonts w:ascii="Arial" w:eastAsia="Arial" w:hAnsi="Arial" w:cs="Arial"/>
      <w:b w:val="0"/>
      <w:bCs w:val="0"/>
      <w:i w:val="0"/>
      <w:iCs w:val="0"/>
      <w:smallCaps w:val="0"/>
      <w:strike w:val="0"/>
      <w:sz w:val="28"/>
      <w:szCs w:val="28"/>
      <w:u w:val="none"/>
    </w:rPr>
  </w:style>
  <w:style w:type="character" w:customStyle="1" w:styleId="CharStyle25">
    <w:name w:val="Základní text_"/>
    <w:basedOn w:val="DefaultParagraphFont"/>
    <w:link w:val="Style24"/>
    <w:rPr>
      <w:rFonts w:ascii="Arial" w:eastAsia="Arial" w:hAnsi="Arial" w:cs="Arial"/>
      <w:b w:val="0"/>
      <w:bCs w:val="0"/>
      <w:i w:val="0"/>
      <w:iCs w:val="0"/>
      <w:smallCaps w:val="0"/>
      <w:strike w:val="0"/>
      <w:sz w:val="11"/>
      <w:szCs w:val="11"/>
      <w:u w:val="none"/>
    </w:rPr>
  </w:style>
  <w:style w:type="character" w:customStyle="1" w:styleId="CharStyle28">
    <w:name w:val="Základní text (4)_"/>
    <w:basedOn w:val="DefaultParagraphFont"/>
    <w:link w:val="Style27"/>
    <w:rPr>
      <w:rFonts w:ascii="Arial" w:eastAsia="Arial" w:hAnsi="Arial" w:cs="Arial"/>
      <w:b w:val="0"/>
      <w:bCs w:val="0"/>
      <w:i w:val="0"/>
      <w:iCs w:val="0"/>
      <w:smallCaps w:val="0"/>
      <w:strike w:val="0"/>
      <w:sz w:val="19"/>
      <w:szCs w:val="19"/>
      <w:u w:val="none"/>
    </w:rPr>
  </w:style>
  <w:style w:type="character" w:customStyle="1" w:styleId="CharStyle38">
    <w:name w:val="Nadpis #3_"/>
    <w:basedOn w:val="DefaultParagraphFont"/>
    <w:link w:val="Style37"/>
    <w:rPr>
      <w:rFonts w:ascii="Arial" w:eastAsia="Arial" w:hAnsi="Arial" w:cs="Arial"/>
      <w:b/>
      <w:bCs/>
      <w:i w:val="0"/>
      <w:iCs w:val="0"/>
      <w:smallCaps w:val="0"/>
      <w:strike w:val="0"/>
      <w:sz w:val="11"/>
      <w:szCs w:val="11"/>
      <w:u w:val="none"/>
    </w:rPr>
  </w:style>
  <w:style w:type="paragraph" w:customStyle="1" w:styleId="Style2">
    <w:name w:val="Jiné"/>
    <w:basedOn w:val="Normal"/>
    <w:link w:val="CharStyle3"/>
    <w:pPr>
      <w:widowControl w:val="0"/>
      <w:shd w:val="clear" w:color="auto" w:fill="auto"/>
      <w:spacing w:line="254" w:lineRule="auto"/>
    </w:pPr>
    <w:rPr>
      <w:rFonts w:ascii="Arial" w:eastAsia="Arial" w:hAnsi="Arial" w:cs="Arial"/>
      <w:b w:val="0"/>
      <w:bCs w:val="0"/>
      <w:i w:val="0"/>
      <w:iCs w:val="0"/>
      <w:smallCaps w:val="0"/>
      <w:strike w:val="0"/>
      <w:sz w:val="11"/>
      <w:szCs w:val="11"/>
      <w:u w:val="none"/>
    </w:rPr>
  </w:style>
  <w:style w:type="paragraph" w:customStyle="1" w:styleId="Style7">
    <w:name w:val="Titulek tabulky"/>
    <w:basedOn w:val="Normal"/>
    <w:link w:val="CharStyle8"/>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9">
    <w:name w:val="Základní text (2)"/>
    <w:basedOn w:val="Normal"/>
    <w:link w:val="CharStyle10"/>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13">
    <w:name w:val="Nadpis #1"/>
    <w:basedOn w:val="Normal"/>
    <w:link w:val="CharStyle14"/>
    <w:pPr>
      <w:widowControl w:val="0"/>
      <w:shd w:val="clear" w:color="auto" w:fill="auto"/>
      <w:jc w:val="right"/>
      <w:outlineLvl w:val="0"/>
    </w:pPr>
    <w:rPr>
      <w:rFonts w:ascii="Arial" w:eastAsia="Arial" w:hAnsi="Arial" w:cs="Arial"/>
      <w:b w:val="0"/>
      <w:bCs w:val="0"/>
      <w:i w:val="0"/>
      <w:iCs w:val="0"/>
      <w:smallCaps w:val="0"/>
      <w:strike w:val="0"/>
      <w:sz w:val="44"/>
      <w:szCs w:val="44"/>
      <w:u w:val="none"/>
    </w:rPr>
  </w:style>
  <w:style w:type="paragraph" w:customStyle="1" w:styleId="Style15">
    <w:name w:val="Základní text (5)"/>
    <w:basedOn w:val="Normal"/>
    <w:link w:val="CharStyle16"/>
    <w:pPr>
      <w:widowControl w:val="0"/>
      <w:shd w:val="clear" w:color="auto" w:fill="auto"/>
    </w:pPr>
    <w:rPr>
      <w:rFonts w:ascii="Arial" w:eastAsia="Arial" w:hAnsi="Arial" w:cs="Arial"/>
      <w:b w:val="0"/>
      <w:bCs w:val="0"/>
      <w:i w:val="0"/>
      <w:iCs w:val="0"/>
      <w:smallCaps w:val="0"/>
      <w:strike w:val="0"/>
      <w:sz w:val="22"/>
      <w:szCs w:val="22"/>
      <w:u w:val="none"/>
    </w:rPr>
  </w:style>
  <w:style w:type="paragraph" w:customStyle="1" w:styleId="Style18">
    <w:name w:val="Základní text (3)"/>
    <w:basedOn w:val="Normal"/>
    <w:link w:val="CharStyle19"/>
    <w:pPr>
      <w:widowControl w:val="0"/>
      <w:shd w:val="clear" w:color="auto" w:fill="auto"/>
      <w:ind w:firstLine="90"/>
    </w:pPr>
    <w:rPr>
      <w:rFonts w:ascii="Arial" w:eastAsia="Arial" w:hAnsi="Arial" w:cs="Arial"/>
      <w:b w:val="0"/>
      <w:bCs w:val="0"/>
      <w:i w:val="0"/>
      <w:iCs w:val="0"/>
      <w:smallCaps w:val="0"/>
      <w:strike w:val="0"/>
      <w:sz w:val="11"/>
      <w:szCs w:val="11"/>
      <w:u w:val="none"/>
    </w:rPr>
  </w:style>
  <w:style w:type="paragraph" w:customStyle="1" w:styleId="Style22">
    <w:name w:val="Nadpis #2"/>
    <w:basedOn w:val="Normal"/>
    <w:link w:val="CharStyle23"/>
    <w:pPr>
      <w:widowControl w:val="0"/>
      <w:shd w:val="clear" w:color="auto" w:fill="auto"/>
      <w:outlineLvl w:val="1"/>
    </w:pPr>
    <w:rPr>
      <w:rFonts w:ascii="Arial" w:eastAsia="Arial" w:hAnsi="Arial" w:cs="Arial"/>
      <w:b w:val="0"/>
      <w:bCs w:val="0"/>
      <w:i w:val="0"/>
      <w:iCs w:val="0"/>
      <w:smallCaps w:val="0"/>
      <w:strike w:val="0"/>
      <w:sz w:val="28"/>
      <w:szCs w:val="28"/>
      <w:u w:val="none"/>
    </w:rPr>
  </w:style>
  <w:style w:type="paragraph" w:customStyle="1" w:styleId="Style24">
    <w:name w:val="Základní text"/>
    <w:basedOn w:val="Normal"/>
    <w:link w:val="CharStyle25"/>
    <w:pPr>
      <w:widowControl w:val="0"/>
      <w:shd w:val="clear" w:color="auto" w:fill="auto"/>
      <w:spacing w:line="254" w:lineRule="auto"/>
    </w:pPr>
    <w:rPr>
      <w:rFonts w:ascii="Arial" w:eastAsia="Arial" w:hAnsi="Arial" w:cs="Arial"/>
      <w:b w:val="0"/>
      <w:bCs w:val="0"/>
      <w:i w:val="0"/>
      <w:iCs w:val="0"/>
      <w:smallCaps w:val="0"/>
      <w:strike w:val="0"/>
      <w:sz w:val="11"/>
      <w:szCs w:val="11"/>
      <w:u w:val="none"/>
    </w:rPr>
  </w:style>
  <w:style w:type="paragraph" w:customStyle="1" w:styleId="Style27">
    <w:name w:val="Základní text (4)"/>
    <w:basedOn w:val="Normal"/>
    <w:link w:val="CharStyle28"/>
    <w:pPr>
      <w:widowControl w:val="0"/>
      <w:shd w:val="clear" w:color="auto" w:fill="auto"/>
      <w:spacing w:after="140"/>
      <w:jc w:val="center"/>
    </w:pPr>
    <w:rPr>
      <w:rFonts w:ascii="Arial" w:eastAsia="Arial" w:hAnsi="Arial" w:cs="Arial"/>
      <w:b w:val="0"/>
      <w:bCs w:val="0"/>
      <w:i w:val="0"/>
      <w:iCs w:val="0"/>
      <w:smallCaps w:val="0"/>
      <w:strike w:val="0"/>
      <w:sz w:val="19"/>
      <w:szCs w:val="19"/>
      <w:u w:val="none"/>
    </w:rPr>
  </w:style>
  <w:style w:type="paragraph" w:customStyle="1" w:styleId="Style37">
    <w:name w:val="Nadpis #3"/>
    <w:basedOn w:val="Normal"/>
    <w:link w:val="CharStyle38"/>
    <w:pPr>
      <w:widowControl w:val="0"/>
      <w:shd w:val="clear" w:color="auto" w:fill="auto"/>
      <w:spacing w:line="254" w:lineRule="auto"/>
      <w:outlineLvl w:val="2"/>
    </w:pPr>
    <w:rPr>
      <w:rFonts w:ascii="Arial" w:eastAsia="Arial" w:hAnsi="Arial" w:cs="Arial"/>
      <w:b/>
      <w:bCs/>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