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D300" w14:textId="77777777" w:rsidR="0078710C" w:rsidRDefault="0078710C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</w:p>
    <w:p w14:paraId="2B508EB4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4C7F51DA" w14:textId="77777777" w:rsid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uzavřená podle </w:t>
      </w:r>
      <w:proofErr w:type="spellStart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§ 2079 a násl. občanského zákoníku mezi smluvními stranami</w:t>
      </w:r>
    </w:p>
    <w:p w14:paraId="4B73F674" w14:textId="77777777" w:rsidR="00917A71" w:rsidRPr="00483627" w:rsidRDefault="00917A71" w:rsidP="0071141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AC2AD50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7FA27D" w14:textId="1CDC2F29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17A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</w:t>
      </w:r>
      <w:proofErr w:type="gramStart"/>
      <w:r w:rsidR="002D2D20" w:rsidRPr="002D2D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T.C.</w:t>
      </w:r>
      <w:proofErr w:type="gramEnd"/>
      <w:r w:rsidR="002D2D20" w:rsidRPr="002D2D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</w:t>
      </w:r>
      <w:r w:rsidR="00FD54A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="002D2D20" w:rsidRPr="002D2D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Investment</w:t>
      </w:r>
      <w:proofErr w:type="spellEnd"/>
      <w:r w:rsidR="002D2D20" w:rsidRPr="002D2D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s.r.o.</w:t>
      </w:r>
    </w:p>
    <w:p w14:paraId="108979BE" w14:textId="618FACB2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Branecká 874, </w:t>
      </w:r>
      <w:proofErr w:type="spellStart"/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Svítkov</w:t>
      </w:r>
      <w:proofErr w:type="spellEnd"/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, 530 06 Pardubice</w:t>
      </w:r>
    </w:p>
    <w:p w14:paraId="051029D2" w14:textId="4213F9E2" w:rsidR="00483627" w:rsidRDefault="0048362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/á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v obchodním rejstříku u Krajského soudu v Hradci Králové,</w:t>
      </w:r>
    </w:p>
    <w:p w14:paraId="136632A3" w14:textId="36EE72E5" w:rsidR="002D2D20" w:rsidRPr="00483627" w:rsidRDefault="002D2D20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oddíl C, vložka 10592</w:t>
      </w:r>
    </w:p>
    <w:p w14:paraId="58210ED1" w14:textId="55B0FDDE" w:rsidR="00967196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/á:</w:t>
      </w:r>
      <w:r w:rsidR="00D524A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524A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524A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, jednatelkou</w:t>
      </w:r>
    </w:p>
    <w:p w14:paraId="0742443E" w14:textId="465EA350" w:rsidR="00B37FE4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 w:rsidR="00EF2EF3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</w:t>
      </w:r>
      <w:r w:rsidR="00B37F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37F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37F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37F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25257421</w:t>
      </w:r>
    </w:p>
    <w:p w14:paraId="1440A99C" w14:textId="2F44A0BD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700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 w:rsidR="00B37F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37F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CZ25257421</w:t>
      </w:r>
    </w:p>
    <w:p w14:paraId="0FB78A29" w14:textId="6F8B3460"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D2D20" w:rsidRPr="002D2D20">
        <w:rPr>
          <w:rFonts w:ascii="Times New Roman" w:eastAsia="Times New Roman" w:hAnsi="Times New Roman" w:cs="Times New Roman"/>
          <w:sz w:val="24"/>
          <w:szCs w:val="20"/>
          <w:lang w:eastAsia="cs-CZ"/>
        </w:rPr>
        <w:t>2ea6gd5</w:t>
      </w:r>
    </w:p>
    <w:p w14:paraId="0F3BFB1F" w14:textId="07D7E650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</w:p>
    <w:p w14:paraId="0B1D9EE5" w14:textId="436BA9BB"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6973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A656760" w14:textId="77777777" w:rsidR="00F872E5" w:rsidRDefault="00F872E5" w:rsidP="00F872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F3B797B" w14:textId="0CF82AB1" w:rsidR="00F872E5" w:rsidRPr="0071141E" w:rsidRDefault="00F872E5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</w:p>
    <w:p w14:paraId="57B058F2" w14:textId="099851FE" w:rsidR="00F872E5" w:rsidRPr="000A6BC0" w:rsidRDefault="00F872E5" w:rsidP="00F872E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</w:p>
    <w:p w14:paraId="23512018" w14:textId="77777777"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A490CEF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FD67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F823352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0F7AC6E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14:paraId="589EB10E" w14:textId="77777777" w:rsidR="00281C0F" w:rsidRDefault="00281C0F" w:rsidP="004836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FB4FA9" w14:textId="77777777" w:rsidR="00483627" w:rsidRPr="00483627" w:rsidRDefault="00483627" w:rsidP="00B37FE4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14:paraId="762BDD9C" w14:textId="77777777"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14:paraId="0BE19400" w14:textId="77777777" w:rsidR="00967196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eastAsia="cs-CZ"/>
        </w:rPr>
        <w:t> 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 Praze </w:t>
      </w:r>
      <w:proofErr w:type="spellStart"/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zn.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proofErr w:type="spellEnd"/>
      <w:r w:rsidR="0091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1342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</w:p>
    <w:p w14:paraId="67F76DE2" w14:textId="77777777"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700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Martinem Lehkým, ředitelem</w:t>
      </w:r>
    </w:p>
    <w:p w14:paraId="1A3F658C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EF2EF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14:paraId="0D277BA9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14:paraId="3EBFC707" w14:textId="77777777" w:rsidR="00483627" w:rsidRPr="00875299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</w:t>
      </w: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datové schránky: </w:t>
      </w: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14:paraId="5E434011" w14:textId="6E9E0231" w:rsidR="00483627" w:rsidRPr="00875299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14:paraId="54FDB4ED" w14:textId="71955586" w:rsidR="00483627" w:rsidRPr="00875299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14:paraId="2412BF64" w14:textId="77777777" w:rsidR="00B37FE4" w:rsidRPr="00875299" w:rsidRDefault="00B37FE4" w:rsidP="00B3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 jednat:</w:t>
      </w: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E452A41" w14:textId="77777777" w:rsidR="00B37FE4" w:rsidRPr="00875299" w:rsidRDefault="00B37FE4" w:rsidP="00B37FE4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 w:rsidRP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Lehký, tel. 973 204 091</w:t>
      </w:r>
    </w:p>
    <w:p w14:paraId="3E72F207" w14:textId="3828D10E" w:rsidR="00B37FE4" w:rsidRPr="00875299" w:rsidRDefault="00B37FE4" w:rsidP="00B37FE4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6973E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14:paraId="5ABBDE78" w14:textId="77777777" w:rsidR="00483627" w:rsidRPr="00875299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745278F5" w14:textId="77777777" w:rsidR="00483627" w:rsidRPr="00875299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 w:rsidR="002B5499"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="00281C0F"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společně též „smluvní strany“ nebo jednotlivě „smluvní strana“</w:t>
      </w:r>
      <w:r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035ACE" w:rsidRPr="008752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AF74744" w14:textId="77777777" w:rsidR="00483627" w:rsidRPr="00875299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14:paraId="1B75C3B6" w14:textId="77777777" w:rsidR="002B5499" w:rsidRPr="00483627" w:rsidRDefault="002B5499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14:paraId="0FE1E5F3" w14:textId="77777777" w:rsidR="00323590" w:rsidRDefault="003235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3F6408" w14:textId="77777777" w:rsidR="00323590" w:rsidRPr="007B347A" w:rsidRDefault="007B347A" w:rsidP="007B34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Předmět smlouvy</w:t>
      </w:r>
    </w:p>
    <w:p w14:paraId="62ED6F0E" w14:textId="77777777" w:rsidR="00483627" w:rsidRPr="00483627" w:rsidRDefault="00483627" w:rsidP="00557E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CA585B" w14:textId="1419E26C" w:rsidR="00B37FE4" w:rsidRDefault="00B37FE4" w:rsidP="00B37FE4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kupní smlouvy je dodávka </w:t>
      </w:r>
      <w:r w:rsidR="00FB6A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nádobí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„zboží“) kupujícímu. Zboží je přesně specifikováno v nedílné příloze č. 1 této smlouvy. </w:t>
      </w:r>
    </w:p>
    <w:p w14:paraId="72AC86F4" w14:textId="77777777" w:rsidR="000B2750" w:rsidRPr="004D6C63" w:rsidRDefault="00B37FE4" w:rsidP="00B37FE4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touto smlouvou zavazuje dodat za podmínek v ní sjednaných kupujícímu zboží</w:t>
      </w:r>
      <w:r w:rsidR="00D6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naložení, dopravy a složení na místo určení</w:t>
      </w:r>
      <w:r w:rsidR="00C540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(skladové prostory 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požadavku provozních pracovníků jednotlivých ubytoven</w:t>
      </w:r>
      <w:r w:rsidR="00D6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776C" w:rsidRPr="00B6691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>dle přílohy</w:t>
      </w:r>
      <w:r w:rsidR="00D6776C" w:rsidRPr="00B669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 této smlouvy)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6DD32F" w14:textId="77777777" w:rsidR="00B6691F" w:rsidRDefault="00B6691F" w:rsidP="00B6691F">
      <w:pPr>
        <w:suppressAutoHyphens/>
        <w:spacing w:after="120" w:line="100" w:lineRule="atLeast"/>
        <w:jc w:val="both"/>
        <w:rPr>
          <w:lang w:eastAsia="cs-CZ"/>
        </w:rPr>
      </w:pPr>
    </w:p>
    <w:p w14:paraId="0B4B94D5" w14:textId="77777777" w:rsidR="00B6691F" w:rsidRDefault="00B6691F" w:rsidP="00B6691F">
      <w:pPr>
        <w:suppressAutoHyphens/>
        <w:spacing w:after="120" w:line="100" w:lineRule="atLeast"/>
        <w:jc w:val="both"/>
        <w:rPr>
          <w:lang w:eastAsia="cs-CZ"/>
        </w:rPr>
      </w:pPr>
    </w:p>
    <w:p w14:paraId="6D99724A" w14:textId="77777777" w:rsidR="00B6691F" w:rsidRPr="00483627" w:rsidRDefault="00B6691F" w:rsidP="00B6691F">
      <w:pPr>
        <w:suppressAutoHyphens/>
        <w:spacing w:after="120" w:line="100" w:lineRule="atLeast"/>
        <w:jc w:val="both"/>
        <w:rPr>
          <w:lang w:eastAsia="cs-CZ"/>
        </w:rPr>
      </w:pPr>
    </w:p>
    <w:p w14:paraId="32C26297" w14:textId="77777777" w:rsidR="008A6B3C" w:rsidRDefault="008A6B3C" w:rsidP="008A6B3C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Kupující se zavazuje zboží převzít a zaplatit za něj sjednanou kupní cenu 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>III.</w:t>
      </w:r>
      <w:r w:rsid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</w:t>
      </w:r>
      <w:r w:rsidRPr="005A636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 a v termínu stanoveném touto smlouvou.</w:t>
      </w:r>
    </w:p>
    <w:p w14:paraId="664D0F4C" w14:textId="77777777" w:rsidR="00801B5E" w:rsidRPr="002B5499" w:rsidRDefault="00801B5E" w:rsidP="00483627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0CBA6" w14:textId="77777777"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 plnění</w:t>
      </w:r>
    </w:p>
    <w:p w14:paraId="77A16E80" w14:textId="77777777"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719247B" w14:textId="77777777" w:rsidR="009A3F33" w:rsidRDefault="000B2750" w:rsidP="009A3F3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Místem plnění jsou v</w:t>
      </w:r>
      <w:r w:rsidR="00D6776C" w:rsidRPr="00B669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ojenská u</w:t>
      </w:r>
      <w:r w:rsidR="009A3F33" w:rsidRPr="00B669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bytovací zařízení</w:t>
      </w:r>
      <w:r w:rsidR="00D6776C" w:rsidRPr="00B669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(dále jen „VUZ“) </w:t>
      </w:r>
      <w:r w:rsidR="009A3F33" w:rsidRPr="00B669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kupujícího </w:t>
      </w:r>
      <w:r w:rsidR="00D6776C" w:rsidRPr="00B669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uvedená v </w:t>
      </w:r>
      <w:r w:rsidR="00EF2E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9A3F33" w:rsidRPr="00B669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edílné</w:t>
      </w:r>
      <w:r w:rsidR="009A3F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příloze č. 2 této smlouvy.</w:t>
      </w:r>
    </w:p>
    <w:p w14:paraId="6A993F73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4240488" w14:textId="77777777"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upní cena</w:t>
      </w:r>
    </w:p>
    <w:p w14:paraId="44CEA282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63D2B8B" w14:textId="331BB490" w:rsidR="00483627" w:rsidRPr="00483627" w:rsidRDefault="00483627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a činí: </w:t>
      </w:r>
      <w:r w:rsidR="00EA4ED9" w:rsidRPr="00EA4E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364 550,80</w:t>
      </w:r>
      <w:r w:rsidRPr="005A63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Kč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14:paraId="33BC56ED" w14:textId="77777777"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5B5F9D5C" w14:textId="037FCCA0" w:rsidR="00483627" w:rsidRPr="00483627" w:rsidRDefault="00483627" w:rsidP="00483627">
      <w:pPr>
        <w:tabs>
          <w:tab w:val="left" w:pos="1080"/>
          <w:tab w:val="right" w:pos="7740"/>
        </w:tabs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proofErr w:type="spellStart"/>
      <w:r w:rsidR="00222C46">
        <w:rPr>
          <w:rFonts w:ascii="Times New Roman" w:eastAsia="Times New Roman" w:hAnsi="Times New Roman" w:cs="Times New Roman"/>
          <w:sz w:val="24"/>
          <w:szCs w:val="20"/>
          <w:lang w:eastAsia="cs-CZ"/>
        </w:rPr>
        <w:t>třistašedesátčtyřitisíc</w:t>
      </w:r>
      <w:r w:rsidR="00EA4ED9" w:rsidRP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>pětsetpadesát</w:t>
      </w:r>
      <w:proofErr w:type="spellEnd"/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korun</w:t>
      </w:r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českých</w:t>
      </w:r>
      <w:r w:rsid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222C46">
        <w:rPr>
          <w:rFonts w:ascii="Times New Roman" w:eastAsia="Times New Roman" w:hAnsi="Times New Roman" w:cs="Times New Roman"/>
          <w:sz w:val="24"/>
          <w:szCs w:val="20"/>
          <w:lang w:eastAsia="cs-CZ"/>
        </w:rPr>
        <w:t>osmdesát</w:t>
      </w:r>
      <w:r w:rsid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haléřů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14:paraId="7E24B566" w14:textId="77777777"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50083B" w14:textId="77777777"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58BB24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DPH bude účtováno v sazbě platné ke dni uskutečnění zdanitelného plnění.</w:t>
      </w:r>
    </w:p>
    <w:p w14:paraId="251029A6" w14:textId="77777777" w:rsid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1A8969" w14:textId="77777777" w:rsidR="0071141E" w:rsidRPr="00483627" w:rsidRDefault="0071141E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16859F" w14:textId="77777777"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14:paraId="5410DDA2" w14:textId="77777777"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36486" w14:textId="77777777" w:rsidR="009A3F33" w:rsidRDefault="00483627" w:rsidP="009A3F33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83302167"/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neposkytuje zálohy. Úhrada zboží se uskuteční na základě vystavené</w:t>
      </w:r>
      <w:r w:rsidR="009E7DFD"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ho daňového dokladu (dále jen „</w:t>
      </w:r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 w:rsidR="00801B5E"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E7DFD"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”) </w:t>
      </w:r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14:paraId="510425E5" w14:textId="77777777" w:rsidR="009A3F33" w:rsidRDefault="009A3F33" w:rsidP="009A3F33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budou vystaveny na jednotlivá ubytovací zařízení, a to i v případě dodání zboží pro více ubytovacích zařízení na jednu adresu.</w:t>
      </w:r>
    </w:p>
    <w:p w14:paraId="272EAB64" w14:textId="77777777" w:rsidR="007B0B5C" w:rsidRDefault="00483627" w:rsidP="007B0B5C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faktur je 30 kalendářních dnů ode dne doručení faktury kupujícímu. Při nesplnění podmínky 30denní lhůty splatnosti po jejím doručení kupujícímu je kupující oprávněn</w:t>
      </w:r>
      <w:r w:rsidR="00CD27ED"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</w:t>
      </w:r>
      <w:r w:rsidR="00CD27ED"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nesplňující tuto podmínku </w:t>
      </w:r>
      <w:r w:rsidRPr="009A3F33">
        <w:rPr>
          <w:rFonts w:ascii="Times New Roman" w:eastAsia="Times New Roman" w:hAnsi="Times New Roman" w:cs="Times New Roman"/>
          <w:sz w:val="24"/>
          <w:szCs w:val="24"/>
          <w:lang w:eastAsia="cs-CZ"/>
        </w:rPr>
        <w:t>vrátit zpět prodávajícímu jako neoprávněnou.</w:t>
      </w:r>
    </w:p>
    <w:p w14:paraId="4471F611" w14:textId="77777777" w:rsidR="007B0B5C" w:rsidRDefault="00483627" w:rsidP="007B0B5C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faktury musí obsahovat náležitosti daňového dokladu dle § 26 a násl. zákona č. 235/2004 Sb. v platném znění a dle § 435 občanského zákoníku a musí být vystaveny v souladu s </w:t>
      </w:r>
      <w:proofErr w:type="spellStart"/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11 odst. 1 zák. č. 563/1991 Sb.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účetnictví, v platném znění. </w:t>
      </w:r>
    </w:p>
    <w:p w14:paraId="62F9C2BD" w14:textId="77777777" w:rsidR="007B0B5C" w:rsidRDefault="00483627" w:rsidP="007B0B5C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Na fakturách je prodávající povinen uvést číslo smlouvy a stručné označení předmětu.</w:t>
      </w:r>
      <w:r w:rsidR="00917A71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součástí 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bude dodací list</w:t>
      </w:r>
      <w:r w:rsidR="00917A71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potvrzením přejímky zboží </w:t>
      </w:r>
      <w:r w:rsidR="009A3F33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podpisem </w:t>
      </w:r>
      <w:r w:rsidR="00917A71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="009A3F33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případě, že faktura nebude mít odpovídající náležitosti</w:t>
      </w:r>
      <w:r w:rsidR="00AE1647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41E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je 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oprávněn zaslat tyto doklady zpět prodávajícímu k doplnění. Lhůta splatnosti doplněné faktury běží nově ode dne jejího doručení kupujícímu</w:t>
      </w:r>
      <w:r w:rsidR="00AE1647"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3E1978" w14:textId="3D640A34" w:rsidR="006755F7" w:rsidRDefault="00483627" w:rsidP="00093377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Kč a rovněž veškeré cenové údaje budou v této měně.</w:t>
      </w:r>
      <w:bookmarkStart w:id="1" w:name="_Hlk83302088"/>
    </w:p>
    <w:p w14:paraId="73BEAA31" w14:textId="61C97C9B" w:rsidR="006755F7" w:rsidRDefault="006755F7" w:rsidP="0047139F">
      <w:pPr>
        <w:pStyle w:val="Odstavecseseznamem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vystavit a zaslat kupujícímu fakturu v elektronické podobě. V případě, že není schopen zajistit elektronické doručení, zajistí zaslání originálu faktury na adresu objednatele uvedenou v odst. 7 tohoto článku smlouvy.  Smluvní strany se výslovně dohodly, že je možné i osobní předání faktury příslušnému technikovi, v tomto případě bude předání a převzetí faktury písemně stvrzeno. </w:t>
      </w:r>
    </w:p>
    <w:p w14:paraId="71F55FDF" w14:textId="65E383A4" w:rsidR="009A3F33" w:rsidRPr="006755F7" w:rsidRDefault="007B0B5C" w:rsidP="00093377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Zasílací adresa pro faktury s </w:t>
      </w:r>
      <w:r w:rsidR="009A3F33"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</w:t>
      </w:r>
      <w:r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9A3F33"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dodání</w:t>
      </w:r>
      <w:r w:rsidR="000B2750"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271D"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Brno, </w:t>
      </w:r>
      <w:r w:rsidR="00EA02BB"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>Vyškov, Sedlec, Kramolín</w:t>
      </w:r>
      <w:r w:rsidRPr="006755F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D6BDC3B" w14:textId="78F3687B" w:rsidR="009A3F33" w:rsidRPr="00036D70" w:rsidRDefault="009A3F33" w:rsidP="00036D70">
      <w:pPr>
        <w:pStyle w:val="Odstavecseseznamem"/>
        <w:suppressAutoHyphens/>
        <w:spacing w:before="120" w:after="120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6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Armádní Servisní, příspěvková organizace, </w:t>
      </w:r>
      <w:r w:rsidR="00EA02BB" w:rsidRPr="00036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Dobrovského 2459/27, 612 00 Brno</w:t>
      </w:r>
    </w:p>
    <w:p w14:paraId="5DECA4C4" w14:textId="1D45D9EF" w:rsidR="007B0B5C" w:rsidRPr="004D6C63" w:rsidRDefault="007B0B5C" w:rsidP="00AE47DD">
      <w:pPr>
        <w:suppressAutoHyphens/>
        <w:spacing w:before="24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Zasílací adresa pro faktury s 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>míst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7B0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dodání</w:t>
      </w:r>
      <w:r w:rsidR="000B2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7DD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</w:t>
      </w:r>
      <w:r w:rsidR="00EA02BB">
        <w:rPr>
          <w:rFonts w:ascii="Times New Roman" w:eastAsia="Times New Roman" w:hAnsi="Times New Roman" w:cs="Times New Roman"/>
          <w:sz w:val="24"/>
          <w:szCs w:val="24"/>
          <w:lang w:eastAsia="cs-CZ"/>
        </w:rPr>
        <w:t>, Moravská Třebová, Hranice, Opava</w:t>
      </w:r>
      <w:r w:rsidR="009A3F33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A79CB3E" w14:textId="298A1084" w:rsidR="009A3F33" w:rsidRPr="00036D70" w:rsidRDefault="009A3F33" w:rsidP="006F2A74">
      <w:pPr>
        <w:pStyle w:val="Odstavecseseznamem"/>
        <w:suppressAutoHyphens/>
        <w:spacing w:before="120" w:after="240"/>
        <w:ind w:left="567" w:hanging="141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6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Armádní Servisní, příspěvková organizace, </w:t>
      </w:r>
      <w:r w:rsidR="00EA02BB" w:rsidRPr="00036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Křižíkova 2, 779 00 Olomo</w:t>
      </w:r>
      <w:r w:rsidR="00047A79" w:rsidRPr="00036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EA02BB" w:rsidRPr="00036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</w:p>
    <w:p w14:paraId="0D76F3C6" w14:textId="77777777" w:rsidR="009A3F33" w:rsidRPr="003D38DB" w:rsidRDefault="009A3F33" w:rsidP="004D6C63">
      <w:pPr>
        <w:suppressAutoHyphens/>
        <w:spacing w:before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zboží bude po dohodě smluvních stran dodáno na odlišná místa dodání, bude na tato místa vystavena faktura zvlášť s přiloženým dodacím listem.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bookmarkEnd w:id="1"/>
    <w:p w14:paraId="2772BC23" w14:textId="77777777" w:rsidR="00483627" w:rsidRDefault="00483627" w:rsidP="009A3F33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7A84FF2" w14:textId="77777777" w:rsidR="00483627" w:rsidRPr="00483627" w:rsidRDefault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D</w:t>
      </w:r>
      <w:r w:rsidR="000B3F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oba plnění</w:t>
      </w:r>
    </w:p>
    <w:p w14:paraId="0F0FF0D3" w14:textId="77777777" w:rsidR="00483627" w:rsidRPr="00483627" w:rsidRDefault="00483627" w:rsidP="004836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red"/>
          <w:lang w:eastAsia="cs-CZ"/>
        </w:rPr>
      </w:pPr>
    </w:p>
    <w:p w14:paraId="71969682" w14:textId="77777777" w:rsidR="007B0B5C" w:rsidRPr="004D6C63" w:rsidRDefault="00C540A7" w:rsidP="004D6C63">
      <w:pPr>
        <w:pStyle w:val="Odstavecseseznamem"/>
        <w:numPr>
          <w:ilvl w:val="0"/>
          <w:numId w:val="16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zahájí plnění nabytím účinnosti smlouvy </w:t>
      </w:r>
      <w:r w:rsidR="0048362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</w:t>
      </w:r>
      <w:r w:rsidR="00011D19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8362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</w:t>
      </w:r>
      <w:r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8362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 </w:t>
      </w:r>
      <w:r w:rsidR="00AE164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4EDE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64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362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</w:t>
      </w:r>
      <w:r w:rsidR="00EF2E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647" w:rsidRPr="004D6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9829833" w14:textId="0B26029C" w:rsidR="00483627" w:rsidRPr="00AE47DD" w:rsidRDefault="00270B09" w:rsidP="00047A79">
      <w:pPr>
        <w:pStyle w:val="Odstavecseseznamem"/>
        <w:numPr>
          <w:ilvl w:val="0"/>
          <w:numId w:val="16"/>
        </w:numPr>
        <w:shd w:val="clear" w:color="auto" w:fill="FFFFFF"/>
        <w:tabs>
          <w:tab w:val="num" w:pos="284"/>
        </w:tabs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47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u</w:t>
      </w:r>
      <w:r w:rsidR="00483627" w:rsidRPr="00047A79">
        <w:rPr>
          <w:rFonts w:ascii="Times New Roman" w:eastAsia="Times New Roman" w:hAnsi="Times New Roman" w:cs="Times New Roman"/>
          <w:sz w:val="24"/>
          <w:szCs w:val="24"/>
          <w:lang w:eastAsia="cs-CZ"/>
        </w:rPr>
        <w:t>končí plnění této smlouvy</w:t>
      </w:r>
      <w:r w:rsidRPr="0004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(dodá veškeré zboží) nejpozději do 3</w:t>
      </w:r>
      <w:r w:rsid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47A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B2750" w:rsidRPr="0004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529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B6A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2022</w:t>
      </w:r>
      <w:r w:rsidRPr="0004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6EF39CD" w14:textId="77777777" w:rsidR="00AE47DD" w:rsidRPr="00AE47DD" w:rsidRDefault="00AE47DD" w:rsidP="00AE47DD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2158523" w14:textId="77777777" w:rsidR="00483627" w:rsidRPr="00483627" w:rsidRDefault="00483627" w:rsidP="005A636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mluvní pokuty</w:t>
      </w:r>
    </w:p>
    <w:p w14:paraId="3EA17ACA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FDAE7C4" w14:textId="77777777" w:rsidR="007517E9" w:rsidRDefault="007517E9" w:rsidP="007517E9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k prodlení s úhradou faktury,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prodávající oprávněn účtovat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kupující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pokutu 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výši 0,05 % z fakturované částky za každý den prodlení po termínu splatnosti až do doby zaplacení dlužné částky. </w:t>
      </w:r>
    </w:p>
    <w:p w14:paraId="1BFA2372" w14:textId="71B2F37C" w:rsidR="007517E9" w:rsidRDefault="007517E9" w:rsidP="007517E9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97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Nesplní-li prodávající svůj závazek řádně a včas dodat předmět plnění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6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jednotlivá místa plnění</w:t>
      </w:r>
      <w:r w:rsidRPr="00697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uvedená v příloze č. 2 této smlouvy </w:t>
      </w:r>
      <w:r w:rsidRPr="00697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termínech uvedených v této smlouvě, je kupující oprávněn uplatnit vůči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prodávajícímu</w:t>
      </w:r>
      <w:r w:rsidRPr="00697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 pokutu ve výši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B6A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</w:t>
      </w:r>
      <w:r w:rsidRPr="00697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Kč </w:t>
      </w:r>
      <w:r w:rsidRPr="00697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i započatý den prodlení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za každé místo plnění.</w:t>
      </w:r>
    </w:p>
    <w:p w14:paraId="662E8CB3" w14:textId="348B5CB4" w:rsidR="007517E9" w:rsidRDefault="007517E9" w:rsidP="007517E9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27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Nesplní-li prodávající svůj závazek řádně a včas předložit platné certifikáty kdykoliv v průběhu plnění smlouvy na písemnou výzvu kupujícího dl. čl. VII odst. </w:t>
      </w:r>
      <w:r w:rsidR="00DD06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6E27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smlouvy, je kupující oprávněn uplatnit vůči prodávajícímu smluvní pokutu ve výši </w:t>
      </w:r>
      <w:r w:rsidR="00FB6A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6E27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Kč za každý i započatý den prodlení.</w:t>
      </w:r>
    </w:p>
    <w:p w14:paraId="22B326C8" w14:textId="77777777" w:rsidR="007517E9" w:rsidRDefault="007517E9" w:rsidP="007517E9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4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Uhrazením smluvní pokuty není dotčeno právo požadovat náhradu škody v plné výši. Na úhradu smluvní pokuty nemá vliv případné odstoupení od smlouvy.</w:t>
      </w:r>
    </w:p>
    <w:p w14:paraId="4DE379D5" w14:textId="77777777" w:rsidR="007517E9" w:rsidRDefault="007517E9" w:rsidP="00543757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B6A">
        <w:rPr>
          <w:rFonts w:ascii="Times New Roman" w:hAnsi="Times New Roman"/>
          <w:sz w:val="24"/>
          <w:szCs w:val="24"/>
        </w:rPr>
        <w:t xml:space="preserve">Prokáže-li </w:t>
      </w:r>
      <w:r>
        <w:rPr>
          <w:rFonts w:ascii="Times New Roman" w:hAnsi="Times New Roman"/>
          <w:sz w:val="24"/>
          <w:szCs w:val="24"/>
        </w:rPr>
        <w:t>prodávající</w:t>
      </w:r>
      <w:r w:rsidRPr="005B4B6A">
        <w:rPr>
          <w:rFonts w:ascii="Times New Roman" w:hAnsi="Times New Roman"/>
          <w:sz w:val="24"/>
          <w:szCs w:val="24"/>
        </w:rPr>
        <w:t xml:space="preserve">, že uložení smluvních pokut nezavinil, je </w:t>
      </w:r>
      <w:r>
        <w:rPr>
          <w:rFonts w:ascii="Times New Roman" w:hAnsi="Times New Roman"/>
          <w:sz w:val="24"/>
          <w:szCs w:val="24"/>
        </w:rPr>
        <w:t>kupující</w:t>
      </w:r>
      <w:r w:rsidRPr="005B4B6A">
        <w:rPr>
          <w:rFonts w:ascii="Times New Roman" w:hAnsi="Times New Roman"/>
          <w:sz w:val="24"/>
          <w:szCs w:val="24"/>
        </w:rPr>
        <w:t xml:space="preserve"> oprávněn od jejich vymáhání ustoupit.</w:t>
      </w:r>
    </w:p>
    <w:p w14:paraId="2AC5BC8B" w14:textId="77777777" w:rsidR="007517E9" w:rsidRPr="00932738" w:rsidRDefault="007517E9" w:rsidP="00543757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7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Splatnost smluvních pokut se sjednává na 10 dní ode dne doručení jejich vyúčtování. Smluvní pokuta může být započtena proti neuhrazené faktuře.</w:t>
      </w:r>
    </w:p>
    <w:p w14:paraId="52F86A67" w14:textId="77777777" w:rsidR="00152C52" w:rsidRDefault="00152C52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16D659" w14:textId="77777777"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vláštní ujednání</w:t>
      </w:r>
    </w:p>
    <w:p w14:paraId="4A29E182" w14:textId="77777777"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5B349AE" w14:textId="714144C1" w:rsidR="003A4B51" w:rsidRPr="007517E9" w:rsidRDefault="007517E9" w:rsidP="007517E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D76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se zavazuje, že zboží dodá a složí na odběrn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</w:t>
      </w:r>
      <w:r w:rsidRPr="001D76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místa dle pokynů odpovědných pracovníků kupujícího, kterými jsou pro účely této smlouvy provozní jednotlivých ubytoven uvedení v nedílné příloze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č. 2 této smlouvy.</w:t>
      </w:r>
      <w:r w:rsidR="003A4B51" w:rsidRPr="0075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1E6370" w14:textId="77777777" w:rsidR="003A4B51" w:rsidRDefault="003A4B51" w:rsidP="003A4B5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provede při d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odání zboží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přejímku spočívající v kontrole, zda prodávající dodal zboží požadovaného druhu, kvality, bez vad a v požadovaném množství a na místě vyřeší případné nesrovnalosti. Převzetí zboží potvrdí kupující podpisem na dodacím listě. Není-li možné před převzetím zboží provést přejímku, zapíše se na dodací list výhrada „bez přejímky“. V takové případě lze nesrovnalosti řešit a provedení přejímky potvrdit během následujícího pracovního dne. Tím není dotčeno právo kupujícího uplatnit práva z vad podle občanského zákoníku.</w:t>
      </w:r>
    </w:p>
    <w:p w14:paraId="2AD9A79D" w14:textId="77777777" w:rsidR="003A4B51" w:rsidRDefault="003A4B51" w:rsidP="003A4B5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zboží nepřevzít z těchto důvodů:</w:t>
      </w:r>
    </w:p>
    <w:p w14:paraId="7B000966" w14:textId="77777777" w:rsidR="003A4B51" w:rsidRPr="007A18BC" w:rsidRDefault="003A4B51" w:rsidP="003A4B51">
      <w:pPr>
        <w:pStyle w:val="Odstavecseseznamem"/>
        <w:numPr>
          <w:ilvl w:val="1"/>
          <w:numId w:val="19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A18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se dostane do prodlení s plněním a kupující nebude mít na opožděném plnění zájem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B758650" w14:textId="77777777" w:rsidR="003A4B51" w:rsidRPr="007A18BC" w:rsidRDefault="003A4B51" w:rsidP="003A4B51">
      <w:pPr>
        <w:pStyle w:val="Odstavecseseznamem"/>
        <w:numPr>
          <w:ilvl w:val="1"/>
          <w:numId w:val="19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nebude odpovídat cenám uvedeným v položkovém rozpočtu, který je nedílnou přílohou č. 2 </w:t>
      </w:r>
      <w:r w:rsidRPr="007A18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této smlouvy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6AE996E" w14:textId="77777777" w:rsidR="003A4B51" w:rsidRPr="008D0F67" w:rsidRDefault="003A4B51" w:rsidP="003A4B51">
      <w:pPr>
        <w:pStyle w:val="Odstavecseseznamem"/>
        <w:numPr>
          <w:ilvl w:val="1"/>
          <w:numId w:val="19"/>
        </w:numPr>
        <w:tabs>
          <w:tab w:val="left" w:pos="5670"/>
        </w:tabs>
        <w:suppressAutoHyphens/>
        <w:spacing w:after="120"/>
        <w:ind w:left="709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zboží bude mít poškozený obal, nebo bude vykazovat jiné známky poškození.</w:t>
      </w:r>
    </w:p>
    <w:p w14:paraId="23410028" w14:textId="77777777" w:rsidR="003A4B51" w:rsidRPr="00482FDF" w:rsidRDefault="003A4B51" w:rsidP="003A4B5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se zavazuje k dodržování platných pracovněprávních předpisů včetně zákazu nelegálního zaměstnávání, předpisů vztahující se k pobytu cizinců v 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 souladu s platnými právními předpisy. Prodávající dále zajistí, že všechny osoby podílející se na dodávce zboží dle této smlouvy </w:t>
      </w: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budou vybaveny osobními ochrannými pracovními pomůckami.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Je-li prodávající v prodlení s úhradou řádně dodaného a vyfakturovaného zboží poddodavateli, je kupující oprávněn provést předmětnou úhradu dotčenému poddodavateli přímo; v takovém případě</w:t>
      </w:r>
      <w:r w:rsidRPr="00482FDF">
        <w:rPr>
          <w:rFonts w:ascii="Times New Roman" w:hAnsi="Times New Roman" w:cs="Times New Roman"/>
          <w:sz w:val="24"/>
          <w:szCs w:val="18"/>
        </w:rPr>
        <w:t xml:space="preserve"> již předmětná platba nebude ze strany kupujícího uhrazena prodávajícímu.</w:t>
      </w:r>
    </w:p>
    <w:p w14:paraId="0FAFC74A" w14:textId="77777777" w:rsidR="003A4B51" w:rsidRPr="00482FDF" w:rsidRDefault="003A4B51" w:rsidP="003A4B5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2F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při dodání zboží dle této smlouvy přednostně využije malé či střední podniky jako poddodavatele a zavazuje se zajistit, že jak prodávající, tak jeho poddodavatelé budou při pořízení a dodání zboží dle této smlouvy minimalizovat negati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vní dopady na životní prostředí.</w:t>
      </w:r>
    </w:p>
    <w:p w14:paraId="657D23AB" w14:textId="77777777" w:rsidR="003A4B51" w:rsidRPr="00CD27ED" w:rsidRDefault="003A4B51" w:rsidP="003A4B5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ch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změn a dodatků bude uveřejněna v souladu s § 219 zákona č. 134/2016 Sb., o zadávání veřejných zakázek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14:paraId="0CCE4365" w14:textId="25050F73" w:rsidR="003A4B51" w:rsidRPr="00BA5873" w:rsidRDefault="003A4B51" w:rsidP="003A4B5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doloží kupujícímu v souladu s nařízením Evropského parlamentu a rady č. 1907/2006 a směrnicí č. 2006/121/ES o registraci, hodnocení, povolování a omezování chemických látek („REACH“) čestné prohlášení, že předmět nákupu neobsahuje chemické látky podléhající registraci REACH.</w:t>
      </w:r>
    </w:p>
    <w:p w14:paraId="67DD70BE" w14:textId="2585E472" w:rsidR="00BA5873" w:rsidRPr="006E272A" w:rsidRDefault="00BA5873" w:rsidP="00BA5873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27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se zavazuje, že certifikáty předložené v rámci </w:t>
      </w:r>
      <w:r w:rsidR="006F2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výběrového</w:t>
      </w:r>
      <w:r w:rsidR="006F2A74" w:rsidRPr="006E27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E27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řízení, platí po celou dobu plnění smlouvy a že je předloží kdykoliv na písemnou výzvu kupujícího. V případě ukončení platnosti některého z certifikátů, předložených v rámci výběrového řízení, v průběhu plnění smlouvy, je prodávající povinen v den skončení platnosti certifikátu předložit certifikát s prodlouženou dobou platnosti nebo nový certifikát odpovídající specifikovaným požadavkům uvedených v nedílné příloze č. 1 této smlouvy.</w:t>
      </w:r>
    </w:p>
    <w:p w14:paraId="663788BE" w14:textId="77777777" w:rsidR="00437D0F" w:rsidRDefault="00437D0F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B85C9B2" w14:textId="77777777" w:rsidR="00483627" w:rsidRPr="009930E9" w:rsidRDefault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636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VIII.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930E9" w:rsidRPr="009930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dpovědnost za vady</w:t>
      </w:r>
    </w:p>
    <w:p w14:paraId="5697A859" w14:textId="77777777" w:rsidR="00483627" w:rsidRPr="00483627" w:rsidRDefault="00483627" w:rsidP="00483627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32253BF" w14:textId="1C99B6F8" w:rsid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odpovídá za </w:t>
      </w:r>
      <w:r w:rsidR="00C312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jakost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dodávky či dílčích dodávek</w:t>
      </w:r>
      <w:r w:rsidR="00993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zejména za to, že zboží bude v souladu </w:t>
      </w:r>
      <w:r w:rsidRPr="004D6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697013" w:rsidRPr="004D6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předloženými vzorky</w:t>
      </w:r>
      <w:r w:rsidR="006970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technickými normami a vlastnostmi kupujícím specifikovanými.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poskytuje na dodané zboží záruku v délce </w:t>
      </w:r>
      <w:r w:rsidR="00A323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24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měsíců. Záruka počí</w:t>
      </w:r>
      <w:r w:rsidR="00D020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 běže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dnem převzetí dodaného zboží kupujícím.</w:t>
      </w:r>
    </w:p>
    <w:p w14:paraId="26F39211" w14:textId="77777777" w:rsidR="00483627" w:rsidRPr="00B6691F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se řádně seznámit při každé jednotlivé dodávce se stavem dodáv</w:t>
      </w:r>
      <w:r w:rsidR="00CB01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aného zboží před jeho převzetím a </w:t>
      </w:r>
      <w:r w:rsidR="00CB018D" w:rsidRPr="00B669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má povinnosti mu toto umožnit.</w:t>
      </w:r>
    </w:p>
    <w:p w14:paraId="69375B2F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Kupující si vyhrazuje právo uplatnit do 7 dnů ode dne dodání zboží případnou reklamaci jeho 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jakosti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Reklamaci uplatní kupující u prodávajícího písemně.</w:t>
      </w:r>
    </w:p>
    <w:p w14:paraId="0BB1FF15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Případnou vadu jakosti prodávající odstraní bez zbytečného odkladu po podání písemného podnětu kupujícího.</w:t>
      </w:r>
    </w:p>
    <w:p w14:paraId="46937669" w14:textId="77777777" w:rsidR="00483627" w:rsidRP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 případě potvrzení reklamovaných nedostatků sjedná prodávající na vlastní náklady nápravu a hradí veškeré platby spojené s reklamací.</w:t>
      </w:r>
    </w:p>
    <w:p w14:paraId="3A07D11D" w14:textId="77777777" w:rsidR="006D52ED" w:rsidRDefault="006D52ED" w:rsidP="00F029F1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8EE0B24" w14:textId="77777777" w:rsidR="00CD27ED" w:rsidRDefault="00483627" w:rsidP="00CD27ED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IX.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846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Ukončení</w:t>
      </w:r>
      <w:r w:rsidR="00CD27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smlouvy</w:t>
      </w:r>
    </w:p>
    <w:p w14:paraId="3F2E5A77" w14:textId="77777777" w:rsidR="00CD27ED" w:rsidRDefault="00CD27ED" w:rsidP="00CD27ED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080D8DE" w14:textId="500CFB7E" w:rsidR="00BA5873" w:rsidRPr="006E272A" w:rsidRDefault="00BA5873" w:rsidP="00BA5873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Smluvní strany mohou od této smlouvy jednostranně odstoupit v případě, že dojde k podstatnému a závažnému porušení ustanovení této smlouvy. </w:t>
      </w:r>
      <w:r w:rsidRPr="00B669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podstatné porušení této smlouvy se považuje zejména, jestliže prodávající nedodá řádně a včas předmět této smlouvy a nezjedná nápravu, přestože byl kupujícím na neplnění této smlouvy písemně upozorněn. Dále je kupující oprávněn odstoupit od smlouvy v případě, že bude prodávajícím dodáno zboží neodpovídající specifikaci uvedené v této smlouvě.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E27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podstatné porušení smlouvy se také považuje prodlení prodávajícího s předložením platných certifikátů na základě písemné výzvy kupujícího delším než 30 dní.</w:t>
      </w:r>
    </w:p>
    <w:p w14:paraId="5A0C8D1F" w14:textId="77777777" w:rsidR="00BA5873" w:rsidRDefault="00BA5873" w:rsidP="00BA5873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669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Důvodem odstoupení ze strany prodávajícího je prodlení kupujícího s uhrazením kupní ceny delším než 40 dní.</w:t>
      </w:r>
    </w:p>
    <w:p w14:paraId="2E8EBB40" w14:textId="77777777" w:rsidR="00BA5873" w:rsidRPr="00BC111D" w:rsidRDefault="00BA5873" w:rsidP="00BA5873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1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Smlouvu lze též ukončit dohodou smluvních stran nebo výpovědí ze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C11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zákonem stanovených důvodů.  </w:t>
      </w:r>
    </w:p>
    <w:p w14:paraId="6844AFF4" w14:textId="77777777" w:rsidR="004D6C63" w:rsidRDefault="004D6C63" w:rsidP="00F029F1">
      <w:pPr>
        <w:suppressAutoHyphens/>
        <w:spacing w:line="100" w:lineRule="atLeast"/>
        <w:ind w:left="284" w:hanging="8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E1F2292" w14:textId="77777777" w:rsidR="00483627" w:rsidRPr="00483627" w:rsidRDefault="00483627" w:rsidP="00437D0F">
      <w:pPr>
        <w:suppressAutoHyphens/>
        <w:spacing w:after="24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X.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ávěrečná ustanovení</w:t>
      </w:r>
    </w:p>
    <w:p w14:paraId="7B7E0956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ze</w:t>
      </w:r>
      <w:r w:rsid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14:paraId="2D392154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Smlouva nabývá platnosti dnem podpisu oběma smluvními stranami a účinnosti dnem uveřejnění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14:paraId="255C2275" w14:textId="77777777" w:rsidR="0020032B" w:rsidRDefault="0020032B" w:rsidP="0020032B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057E2CC6" w14:textId="77777777" w:rsidR="0048362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9D59F1"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 o zadávání veřejných zakázek</w:t>
      </w:r>
      <w:r w:rsidR="00671EB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14:paraId="15E0AF78" w14:textId="77777777" w:rsidR="00D72FE6" w:rsidRDefault="00D72FE6" w:rsidP="00D72FE6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A42B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CD445B8" w14:textId="77777777"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14:paraId="46834A6F" w14:textId="2A1D1E81"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</w:t>
      </w:r>
      <w:r w:rsidR="00C447F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D04193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</w:t>
      </w:r>
      <w:r w:rsidR="00C447F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znění</w:t>
      </w: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.</w:t>
      </w:r>
    </w:p>
    <w:p w14:paraId="35CB4CB5" w14:textId="77777777" w:rsidR="00F029F1" w:rsidRDefault="00F029F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34A8110" w14:textId="77777777" w:rsidR="00F029F1" w:rsidRDefault="00F029F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461D53" w14:textId="77777777" w:rsidR="0078710C" w:rsidRPr="0071141E" w:rsidRDefault="0078710C" w:rsidP="0078710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14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Přílohy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58DFE32D" w14:textId="77777777" w:rsidR="0078710C" w:rsidRDefault="0078710C" w:rsidP="0078710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Příloha č. 1 – Specifikace předmětu plnění</w:t>
      </w:r>
    </w:p>
    <w:p w14:paraId="201B1017" w14:textId="77777777" w:rsidR="0078710C" w:rsidRPr="00483627" w:rsidRDefault="0078710C" w:rsidP="0078710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Příloha č. 2 – Položkový rozpočet </w:t>
      </w:r>
      <w:r w:rsidR="00C65C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specifikace míst plnění</w:t>
      </w:r>
    </w:p>
    <w:p w14:paraId="4944F48F" w14:textId="77777777"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566E03F" w14:textId="77777777" w:rsid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6B5C9FA" w14:textId="77777777" w:rsidR="0078710C" w:rsidRPr="00483627" w:rsidRDefault="0078710C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7121D51" w14:textId="3534BFE3" w:rsidR="00F15AC8" w:rsidRDefault="00483627" w:rsidP="004D6C63">
      <w:pPr>
        <w:shd w:val="clear" w:color="auto" w:fill="FFFFFF"/>
        <w:tabs>
          <w:tab w:val="right" w:pos="5103"/>
        </w:tabs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41E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Praze dne</w:t>
      </w:r>
      <w:r w:rsidR="00671EB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D6C6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Pardubicích</w:t>
      </w:r>
      <w:r w:rsidRP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dne</w:t>
      </w:r>
      <w:r w:rsidR="00011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5CFB6751" w14:textId="77777777" w:rsidR="00F15AC8" w:rsidRDefault="00F15AC8" w:rsidP="00671EBF">
      <w:pPr>
        <w:shd w:val="clear" w:color="auto" w:fill="FFFFFF"/>
        <w:tabs>
          <w:tab w:val="center" w:pos="2127"/>
          <w:tab w:val="center" w:pos="7655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3B785CA" w14:textId="77777777" w:rsidR="00483627" w:rsidRDefault="00483627" w:rsidP="00671EBF">
      <w:pPr>
        <w:shd w:val="clear" w:color="auto" w:fill="FFFFFF"/>
        <w:tabs>
          <w:tab w:val="center" w:pos="2127"/>
          <w:tab w:val="center" w:pos="7655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294576C" w14:textId="77777777" w:rsidR="004D6C63" w:rsidRPr="00483627" w:rsidRDefault="004D6C63" w:rsidP="00671EBF">
      <w:pPr>
        <w:shd w:val="clear" w:color="auto" w:fill="FFFFFF"/>
        <w:tabs>
          <w:tab w:val="center" w:pos="2127"/>
          <w:tab w:val="center" w:pos="7655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FEA9730" w14:textId="77777777" w:rsidR="0078710C" w:rsidRPr="00483627" w:rsidRDefault="00671EBF" w:rsidP="004D6C63">
      <w:pPr>
        <w:shd w:val="clear" w:color="auto" w:fill="FFFFFF"/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8710C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8710C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14:paraId="55B6D4D1" w14:textId="6A8574BC" w:rsidR="0078710C" w:rsidRPr="00483627" w:rsidRDefault="0078710C" w:rsidP="004D6C63">
      <w:pPr>
        <w:shd w:val="clear" w:color="auto" w:fill="FFFFFF"/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Armádní Servisní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, příspěvková organizace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="00EA4ED9" w:rsidRP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>T.C.</w:t>
      </w:r>
      <w:proofErr w:type="gramEnd"/>
      <w:r w:rsidR="00EA4ED9" w:rsidRP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>I.</w:t>
      </w:r>
      <w:r w:rsidR="00FD54A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EA4ED9" w:rsidRP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>Investment</w:t>
      </w:r>
      <w:proofErr w:type="spellEnd"/>
      <w:r w:rsidR="00EA4ED9" w:rsidRPr="00EA4E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s.r.o.</w:t>
      </w:r>
    </w:p>
    <w:p w14:paraId="620F4199" w14:textId="4DC71C98" w:rsidR="0078710C" w:rsidRPr="00483627" w:rsidRDefault="0078710C" w:rsidP="004D6C63">
      <w:pPr>
        <w:shd w:val="clear" w:color="auto" w:fill="FFFFFF"/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973EC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bookmarkStart w:id="2" w:name="_GoBack"/>
      <w:bookmarkEnd w:id="2"/>
    </w:p>
    <w:p w14:paraId="7E546518" w14:textId="53C410FF" w:rsidR="008A295C" w:rsidRPr="008F5AE0" w:rsidRDefault="0078710C" w:rsidP="006D52ED">
      <w:pPr>
        <w:shd w:val="clear" w:color="auto" w:fill="FFFFFF"/>
        <w:tabs>
          <w:tab w:val="center" w:pos="2127"/>
          <w:tab w:val="center" w:pos="7371"/>
        </w:tabs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A4ED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4384" behindDoc="0" locked="0" layoutInCell="1" allowOverlap="1" wp14:anchorId="06B733BF" wp14:editId="3D48DAC3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D9" w:rsidRPr="00EA4ED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jednatelka</w:t>
      </w:r>
    </w:p>
    <w:sectPr w:rsidR="008A295C" w:rsidRPr="008F5AE0" w:rsidSect="0071141E">
      <w:headerReference w:type="default" r:id="rId9"/>
      <w:footerReference w:type="even" r:id="rId10"/>
      <w:footerReference w:type="default" r:id="rId11"/>
      <w:pgSz w:w="11906" w:h="16838" w:code="9"/>
      <w:pgMar w:top="992" w:right="851" w:bottom="851" w:left="992" w:header="425" w:footer="408" w:gutter="0"/>
      <w:pgNumType w:chapSep="em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9EC83" w16cid:durableId="25408ACA"/>
  <w16cid:commentId w16cid:paraId="49A62F0D" w16cid:durableId="25408A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E2D6" w14:textId="77777777" w:rsidR="0094286E" w:rsidRDefault="0094286E">
      <w:r>
        <w:separator/>
      </w:r>
    </w:p>
  </w:endnote>
  <w:endnote w:type="continuationSeparator" w:id="0">
    <w:p w14:paraId="7F1368B8" w14:textId="77777777" w:rsidR="0094286E" w:rsidRDefault="009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CE68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13E234E" w14:textId="77777777" w:rsidR="00D81AC2" w:rsidRDefault="006973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63E6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45F4F07C" wp14:editId="60BAABEC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6973EC">
      <w:rPr>
        <w:noProof/>
      </w:rPr>
      <w:t>5</w:t>
    </w:r>
    <w:r>
      <w:fldChar w:fldCharType="end"/>
    </w:r>
  </w:p>
  <w:p w14:paraId="2185611F" w14:textId="77777777" w:rsidR="00D81AC2" w:rsidRPr="00E51669" w:rsidRDefault="006973EC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12DD" w14:textId="77777777" w:rsidR="0094286E" w:rsidRDefault="0094286E">
      <w:r>
        <w:separator/>
      </w:r>
    </w:p>
  </w:footnote>
  <w:footnote w:type="continuationSeparator" w:id="0">
    <w:p w14:paraId="2A31C396" w14:textId="77777777" w:rsidR="0094286E" w:rsidRDefault="0094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A73E" w14:textId="685F2EE5" w:rsidR="002E2DF3" w:rsidRPr="000B2750" w:rsidRDefault="00483627" w:rsidP="002E2DF3">
    <w:pPr>
      <w:pStyle w:val="Zhlav"/>
      <w:rPr>
        <w:b/>
        <w:color w:val="000000"/>
        <w:sz w:val="24"/>
        <w:szCs w:val="32"/>
      </w:rPr>
    </w:pPr>
    <w:r w:rsidRPr="000B2750">
      <w:rPr>
        <w:b/>
        <w:sz w:val="24"/>
        <w:szCs w:val="32"/>
      </w:rPr>
      <w:tab/>
    </w:r>
    <w:r w:rsidRPr="000B2750">
      <w:rPr>
        <w:b/>
        <w:sz w:val="24"/>
        <w:szCs w:val="32"/>
      </w:rPr>
      <w:tab/>
      <w:t xml:space="preserve">Smlouva č. </w:t>
    </w:r>
    <w:r w:rsidR="0085064A" w:rsidRPr="000B2750">
      <w:rPr>
        <w:b/>
        <w:sz w:val="24"/>
        <w:szCs w:val="32"/>
      </w:rPr>
      <w:t>U</w:t>
    </w:r>
    <w:r w:rsidRPr="000B2750">
      <w:rPr>
        <w:b/>
        <w:sz w:val="24"/>
        <w:szCs w:val="32"/>
      </w:rPr>
      <w:t>-</w:t>
    </w:r>
    <w:r w:rsidR="00E8072B">
      <w:rPr>
        <w:b/>
        <w:sz w:val="24"/>
        <w:szCs w:val="32"/>
      </w:rPr>
      <w:t>389</w:t>
    </w:r>
    <w:r w:rsidRPr="000B2750">
      <w:rPr>
        <w:b/>
        <w:sz w:val="24"/>
        <w:szCs w:val="32"/>
      </w:rPr>
      <w:t>-</w:t>
    </w:r>
    <w:r w:rsidR="0085064A" w:rsidRPr="000B2750">
      <w:rPr>
        <w:b/>
        <w:sz w:val="24"/>
        <w:szCs w:val="32"/>
      </w:rPr>
      <w:t>00</w:t>
    </w:r>
    <w:r w:rsidRPr="000B2750">
      <w:rPr>
        <w:b/>
        <w:sz w:val="24"/>
        <w:szCs w:val="32"/>
      </w:rPr>
      <w:t>/</w:t>
    </w:r>
    <w:r w:rsidR="0085064A" w:rsidRPr="000B2750">
      <w:rPr>
        <w:b/>
        <w:sz w:val="24"/>
        <w:szCs w:val="32"/>
      </w:rPr>
      <w:t>2</w:t>
    </w:r>
    <w:r w:rsidR="00875299">
      <w:rPr>
        <w:b/>
        <w:sz w:val="24"/>
        <w:szCs w:val="32"/>
      </w:rPr>
      <w:t>1</w:t>
    </w:r>
  </w:p>
  <w:p w14:paraId="29F6EA57" w14:textId="77777777" w:rsidR="00E9251C" w:rsidRPr="00FE087E" w:rsidRDefault="006973EC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B426ADC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4DCC"/>
    <w:multiLevelType w:val="hybridMultilevel"/>
    <w:tmpl w:val="0B0631AE"/>
    <w:lvl w:ilvl="0" w:tplc="264820B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E2F8E"/>
    <w:multiLevelType w:val="hybridMultilevel"/>
    <w:tmpl w:val="71309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5041"/>
    <w:multiLevelType w:val="hybridMultilevel"/>
    <w:tmpl w:val="14BCC98A"/>
    <w:lvl w:ilvl="0" w:tplc="51A4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871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5E1DD4"/>
    <w:multiLevelType w:val="hybridMultilevel"/>
    <w:tmpl w:val="2E1EC454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F8C42B0"/>
    <w:multiLevelType w:val="hybridMultilevel"/>
    <w:tmpl w:val="3A6E1C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8D0891"/>
    <w:multiLevelType w:val="hybridMultilevel"/>
    <w:tmpl w:val="88D6E926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17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3"/>
    <w:rsid w:val="00011D19"/>
    <w:rsid w:val="00035ACE"/>
    <w:rsid w:val="00036D70"/>
    <w:rsid w:val="00047A79"/>
    <w:rsid w:val="00061BCF"/>
    <w:rsid w:val="00062A53"/>
    <w:rsid w:val="0007603A"/>
    <w:rsid w:val="00092BF0"/>
    <w:rsid w:val="000A6325"/>
    <w:rsid w:val="000B2750"/>
    <w:rsid w:val="000B36AC"/>
    <w:rsid w:val="000B3FE7"/>
    <w:rsid w:val="00106413"/>
    <w:rsid w:val="0012130F"/>
    <w:rsid w:val="00125BB3"/>
    <w:rsid w:val="00152C52"/>
    <w:rsid w:val="00167536"/>
    <w:rsid w:val="001A2D33"/>
    <w:rsid w:val="001B0607"/>
    <w:rsid w:val="001C57CA"/>
    <w:rsid w:val="001D25AB"/>
    <w:rsid w:val="001D766B"/>
    <w:rsid w:val="001F2A28"/>
    <w:rsid w:val="0020032B"/>
    <w:rsid w:val="0021108B"/>
    <w:rsid w:val="00222C46"/>
    <w:rsid w:val="00223DB8"/>
    <w:rsid w:val="0022695F"/>
    <w:rsid w:val="00237EB4"/>
    <w:rsid w:val="00270B09"/>
    <w:rsid w:val="00274EDE"/>
    <w:rsid w:val="00281C0F"/>
    <w:rsid w:val="002B5499"/>
    <w:rsid w:val="002D2D20"/>
    <w:rsid w:val="002F3477"/>
    <w:rsid w:val="00305E1C"/>
    <w:rsid w:val="003068D0"/>
    <w:rsid w:val="00323590"/>
    <w:rsid w:val="003433B3"/>
    <w:rsid w:val="003A4B51"/>
    <w:rsid w:val="003D57C0"/>
    <w:rsid w:val="0041521E"/>
    <w:rsid w:val="0042170A"/>
    <w:rsid w:val="00437D0F"/>
    <w:rsid w:val="0044136C"/>
    <w:rsid w:val="00450BA4"/>
    <w:rsid w:val="0047139F"/>
    <w:rsid w:val="00483627"/>
    <w:rsid w:val="004A422B"/>
    <w:rsid w:val="004A7B94"/>
    <w:rsid w:val="004C10BC"/>
    <w:rsid w:val="004D1A1B"/>
    <w:rsid w:val="004D6C63"/>
    <w:rsid w:val="004D7335"/>
    <w:rsid w:val="005424D7"/>
    <w:rsid w:val="00543757"/>
    <w:rsid w:val="00543C7C"/>
    <w:rsid w:val="00557E70"/>
    <w:rsid w:val="005A6369"/>
    <w:rsid w:val="005C57A3"/>
    <w:rsid w:val="005C7ED5"/>
    <w:rsid w:val="005E188B"/>
    <w:rsid w:val="005F0C3A"/>
    <w:rsid w:val="00600AC4"/>
    <w:rsid w:val="00612D07"/>
    <w:rsid w:val="00641E94"/>
    <w:rsid w:val="006507D5"/>
    <w:rsid w:val="00671EBF"/>
    <w:rsid w:val="006740AB"/>
    <w:rsid w:val="006755F7"/>
    <w:rsid w:val="00693C0A"/>
    <w:rsid w:val="00697013"/>
    <w:rsid w:val="006973EC"/>
    <w:rsid w:val="006B047B"/>
    <w:rsid w:val="006C3F7B"/>
    <w:rsid w:val="006D4597"/>
    <w:rsid w:val="006D52ED"/>
    <w:rsid w:val="006F2A74"/>
    <w:rsid w:val="006F3C3D"/>
    <w:rsid w:val="0071141E"/>
    <w:rsid w:val="007517E9"/>
    <w:rsid w:val="0078271D"/>
    <w:rsid w:val="007839AC"/>
    <w:rsid w:val="0078710C"/>
    <w:rsid w:val="007A3CE7"/>
    <w:rsid w:val="007B0A58"/>
    <w:rsid w:val="007B0B5C"/>
    <w:rsid w:val="007B347A"/>
    <w:rsid w:val="007E2DE3"/>
    <w:rsid w:val="00801B5E"/>
    <w:rsid w:val="008059EB"/>
    <w:rsid w:val="00806523"/>
    <w:rsid w:val="008241B5"/>
    <w:rsid w:val="0085064A"/>
    <w:rsid w:val="00853394"/>
    <w:rsid w:val="0085473F"/>
    <w:rsid w:val="00860228"/>
    <w:rsid w:val="00863D14"/>
    <w:rsid w:val="00874BE3"/>
    <w:rsid w:val="00875299"/>
    <w:rsid w:val="00880082"/>
    <w:rsid w:val="00893F57"/>
    <w:rsid w:val="008A295C"/>
    <w:rsid w:val="008A4908"/>
    <w:rsid w:val="008A6B3C"/>
    <w:rsid w:val="008A764D"/>
    <w:rsid w:val="008B090A"/>
    <w:rsid w:val="008D0F67"/>
    <w:rsid w:val="008D1785"/>
    <w:rsid w:val="008E07E5"/>
    <w:rsid w:val="008F5AE0"/>
    <w:rsid w:val="00917A71"/>
    <w:rsid w:val="00932C06"/>
    <w:rsid w:val="0094286E"/>
    <w:rsid w:val="00967196"/>
    <w:rsid w:val="00987F77"/>
    <w:rsid w:val="009930E9"/>
    <w:rsid w:val="00995BE3"/>
    <w:rsid w:val="009A3F33"/>
    <w:rsid w:val="009D59F1"/>
    <w:rsid w:val="009E06D7"/>
    <w:rsid w:val="009E3B16"/>
    <w:rsid w:val="009E7DFD"/>
    <w:rsid w:val="00A13223"/>
    <w:rsid w:val="00A2246B"/>
    <w:rsid w:val="00A323B0"/>
    <w:rsid w:val="00A87C8C"/>
    <w:rsid w:val="00A87DBF"/>
    <w:rsid w:val="00AE1647"/>
    <w:rsid w:val="00AE47DD"/>
    <w:rsid w:val="00AE7802"/>
    <w:rsid w:val="00AF6D40"/>
    <w:rsid w:val="00B20FE9"/>
    <w:rsid w:val="00B330D6"/>
    <w:rsid w:val="00B37FE4"/>
    <w:rsid w:val="00B6691F"/>
    <w:rsid w:val="00B85FC3"/>
    <w:rsid w:val="00B868C6"/>
    <w:rsid w:val="00BA336D"/>
    <w:rsid w:val="00BA5873"/>
    <w:rsid w:val="00BA6F37"/>
    <w:rsid w:val="00BB1D80"/>
    <w:rsid w:val="00BC4568"/>
    <w:rsid w:val="00BE0701"/>
    <w:rsid w:val="00BF1E70"/>
    <w:rsid w:val="00BF72C7"/>
    <w:rsid w:val="00C31232"/>
    <w:rsid w:val="00C42D4F"/>
    <w:rsid w:val="00C447F9"/>
    <w:rsid w:val="00C540A7"/>
    <w:rsid w:val="00C65C9F"/>
    <w:rsid w:val="00C76FE2"/>
    <w:rsid w:val="00C84676"/>
    <w:rsid w:val="00CB018D"/>
    <w:rsid w:val="00CD27ED"/>
    <w:rsid w:val="00CE4563"/>
    <w:rsid w:val="00D020A2"/>
    <w:rsid w:val="00D04193"/>
    <w:rsid w:val="00D524AE"/>
    <w:rsid w:val="00D6007F"/>
    <w:rsid w:val="00D6776C"/>
    <w:rsid w:val="00D72FE6"/>
    <w:rsid w:val="00D8525F"/>
    <w:rsid w:val="00DD0675"/>
    <w:rsid w:val="00DE0773"/>
    <w:rsid w:val="00E31805"/>
    <w:rsid w:val="00E510C8"/>
    <w:rsid w:val="00E70069"/>
    <w:rsid w:val="00E74DCC"/>
    <w:rsid w:val="00E8072B"/>
    <w:rsid w:val="00EA02BB"/>
    <w:rsid w:val="00EA4ED9"/>
    <w:rsid w:val="00EC2DE1"/>
    <w:rsid w:val="00EC5907"/>
    <w:rsid w:val="00EF2EF3"/>
    <w:rsid w:val="00F029F1"/>
    <w:rsid w:val="00F04792"/>
    <w:rsid w:val="00F15AC8"/>
    <w:rsid w:val="00F45077"/>
    <w:rsid w:val="00F872E5"/>
    <w:rsid w:val="00FB6A88"/>
    <w:rsid w:val="00FD54AF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1DD14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 w:cs="Times New Roman"/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7FE4"/>
  </w:style>
  <w:style w:type="character" w:styleId="Odkaznakoment">
    <w:name w:val="annotation reference"/>
    <w:basedOn w:val="Standardnpsmoodstavce"/>
    <w:uiPriority w:val="99"/>
    <w:semiHidden/>
    <w:unhideWhenUsed/>
    <w:rsid w:val="001D7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6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6450-FD90-4EAB-98A2-DAA8469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1812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BURDOVA Aneta</cp:lastModifiedBy>
  <cp:revision>26</cp:revision>
  <dcterms:created xsi:type="dcterms:W3CDTF">2021-09-23T12:55:00Z</dcterms:created>
  <dcterms:modified xsi:type="dcterms:W3CDTF">2021-11-24T11:57:00Z</dcterms:modified>
</cp:coreProperties>
</file>