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6E" w:rsidRPr="009472D6" w:rsidRDefault="004B35B2" w:rsidP="000571AF">
      <w:pPr>
        <w:pStyle w:val="Smlouvanadpis1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055BCE">
        <w:rPr>
          <w:sz w:val="22"/>
          <w:szCs w:val="22"/>
        </w:rPr>
        <w:t>Čj</w:t>
      </w:r>
      <w:proofErr w:type="spellEnd"/>
      <w:r w:rsidRPr="00055BCE">
        <w:rPr>
          <w:sz w:val="22"/>
          <w:szCs w:val="22"/>
        </w:rPr>
        <w:t>. NGP/</w:t>
      </w:r>
      <w:r w:rsidR="00F11B98" w:rsidRPr="00F11B98">
        <w:rPr>
          <w:sz w:val="22"/>
          <w:szCs w:val="22"/>
        </w:rPr>
        <w:t>1506</w:t>
      </w:r>
      <w:r w:rsidRPr="00055BCE">
        <w:rPr>
          <w:sz w:val="22"/>
          <w:szCs w:val="22"/>
        </w:rPr>
        <w:t>/2021</w:t>
      </w:r>
    </w:p>
    <w:p w:rsidR="004B35B2" w:rsidRDefault="004B35B2" w:rsidP="000571AF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Jednající: </w:t>
      </w:r>
      <w:r w:rsidR="00256DF9">
        <w:rPr>
          <w:rFonts w:ascii="Arial" w:hAnsi="Arial" w:cs="Arial"/>
          <w:sz w:val="22"/>
          <w:szCs w:val="22"/>
        </w:rPr>
        <w:t>Alicja Knast, generální ředitelka</w:t>
      </w:r>
    </w:p>
    <w:p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Bankovní spojení: ČNB</w:t>
      </w:r>
    </w:p>
    <w:p w:rsidR="006354AA" w:rsidRPr="009472D6" w:rsidRDefault="00B6716E" w:rsidP="009C0F61">
      <w:pPr>
        <w:spacing w:after="0" w:line="240" w:lineRule="auto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>Číslo účtu: 050008-0008839011/0710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:rsidR="006338A0" w:rsidRPr="001C1034" w:rsidRDefault="003A4F59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</w:t>
      </w:r>
      <w:r w:rsidR="002D3C4B" w:rsidRPr="001C103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Dagmar Husárová</w:t>
      </w:r>
    </w:p>
    <w:p w:rsidR="002D3C4B" w:rsidRPr="001C1034" w:rsidRDefault="00724E1E" w:rsidP="002D3C4B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Rotalova 36</w:t>
      </w:r>
    </w:p>
    <w:p w:rsidR="006338A0" w:rsidRPr="001C1034" w:rsidRDefault="00724E1E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Brno</w:t>
      </w:r>
      <w:r w:rsidR="00F72CA1" w:rsidRPr="001C1034">
        <w:rPr>
          <w:rFonts w:ascii="Arial" w:hAnsi="Arial" w:cs="Arial"/>
        </w:rPr>
        <w:t xml:space="preserve">, PSČ: </w:t>
      </w:r>
      <w:r>
        <w:rPr>
          <w:rFonts w:ascii="Arial" w:hAnsi="Arial" w:cs="Arial"/>
        </w:rPr>
        <w:t>614</w:t>
      </w:r>
      <w:r w:rsidR="002D3C4B" w:rsidRPr="001C1034">
        <w:rPr>
          <w:rFonts w:ascii="Arial" w:hAnsi="Arial" w:cs="Arial"/>
        </w:rPr>
        <w:t xml:space="preserve"> 00</w:t>
      </w:r>
      <w:r w:rsidR="006354AA" w:rsidRPr="001C1034">
        <w:rPr>
          <w:rFonts w:ascii="Arial" w:hAnsi="Arial" w:cs="Arial"/>
        </w:rPr>
        <w:br/>
        <w:t xml:space="preserve">IČ: </w:t>
      </w:r>
      <w:r w:rsidRPr="00724E1E">
        <w:rPr>
          <w:rFonts w:ascii="Arial" w:hAnsi="Arial" w:cs="Arial"/>
        </w:rPr>
        <w:t>05439183</w:t>
      </w:r>
      <w:r w:rsidR="006354AA" w:rsidRPr="001C1034">
        <w:rPr>
          <w:rFonts w:ascii="Arial" w:hAnsi="Arial" w:cs="Arial"/>
          <w:color w:val="000000"/>
        </w:rPr>
        <w:br/>
      </w:r>
      <w:r w:rsidR="006338A0" w:rsidRPr="001C1034">
        <w:rPr>
          <w:rFonts w:ascii="Arial" w:hAnsi="Arial" w:cs="Arial"/>
        </w:rPr>
        <w:t xml:space="preserve">Bankovní spojení: </w:t>
      </w:r>
    </w:p>
    <w:p w:rsidR="00C851F0" w:rsidRPr="001C1034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1C1034">
        <w:rPr>
          <w:rFonts w:ascii="Arial" w:hAnsi="Arial" w:cs="Arial"/>
        </w:rPr>
        <w:t xml:space="preserve">Číslo účtu: </w:t>
      </w:r>
      <w:r w:rsidR="00551391">
        <w:rPr>
          <w:rFonts w:ascii="Arial" w:hAnsi="Arial" w:cs="Arial"/>
        </w:rPr>
        <w:t>XXXXXXXXXXXXXX</w:t>
      </w:r>
    </w:p>
    <w:p w:rsidR="006338A0" w:rsidRPr="001C1034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1C1034">
        <w:rPr>
          <w:rFonts w:ascii="Arial" w:hAnsi="Arial" w:cs="Arial"/>
        </w:rPr>
        <w:t>není plátcem DPH</w:t>
      </w:r>
    </w:p>
    <w:p w:rsidR="006338A0" w:rsidRPr="001C1034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lang w:bidi="en-US"/>
        </w:rPr>
      </w:pPr>
      <w:r w:rsidRPr="001C1034">
        <w:rPr>
          <w:rFonts w:ascii="Arial" w:hAnsi="Arial" w:cs="Arial"/>
        </w:rPr>
        <w:t xml:space="preserve">Email: </w:t>
      </w:r>
      <w:r w:rsidR="00551391">
        <w:rPr>
          <w:rFonts w:ascii="Arial" w:hAnsi="Arial" w:cs="Arial"/>
        </w:rPr>
        <w:t>XXXXXXXXXXXXXXXXX</w:t>
      </w:r>
    </w:p>
    <w:p w:rsidR="002616E1" w:rsidRDefault="00B6716E" w:rsidP="00726798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1C1034">
        <w:rPr>
          <w:rFonts w:ascii="Arial" w:hAnsi="Arial" w:cs="Arial"/>
        </w:rPr>
        <w:t>(dále jen jako „</w:t>
      </w:r>
      <w:r w:rsidRPr="001C1034">
        <w:rPr>
          <w:rStyle w:val="Silnzdraznn"/>
          <w:rFonts w:ascii="Arial" w:hAnsi="Arial" w:cs="Arial"/>
          <w:bCs/>
        </w:rPr>
        <w:t>Poskytovatel</w:t>
      </w:r>
      <w:r w:rsidRPr="001C1034">
        <w:rPr>
          <w:rFonts w:ascii="Arial" w:hAnsi="Arial" w:cs="Arial"/>
        </w:rPr>
        <w:t>“ na straně druhé)</w:t>
      </w:r>
    </w:p>
    <w:p w:rsidR="006338A0" w:rsidRPr="009472D6" w:rsidRDefault="006338A0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4B35B2" w:rsidRPr="009472D6" w:rsidRDefault="004B35B2" w:rsidP="000571AF">
      <w:pPr>
        <w:spacing w:after="0" w:line="240" w:lineRule="auto"/>
        <w:rPr>
          <w:rFonts w:ascii="Arial" w:hAnsi="Arial" w:cs="Arial"/>
        </w:rPr>
      </w:pPr>
    </w:p>
    <w:p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:rsidR="00B6716E" w:rsidRPr="00726798" w:rsidRDefault="00B6716E" w:rsidP="000571A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726798">
        <w:rPr>
          <w:rFonts w:ascii="Arial" w:hAnsi="Arial" w:cs="Arial"/>
        </w:rPr>
        <w:t xml:space="preserve">Poskytovatel prohlašuje, že má živnostenské oprávnění v oboru Výroba, obchod a služby neuvedené v přílohách 1 až 3 živnostenského zákona, a prohlašuje, že je způsobilý a oprávněn k poskytování poradenských a konzultačních služeb. </w:t>
      </w:r>
    </w:p>
    <w:p w:rsidR="00B6716E" w:rsidRPr="00726798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726798">
        <w:rPr>
          <w:rFonts w:ascii="Arial" w:hAnsi="Arial" w:cs="Arial"/>
        </w:rPr>
        <w:t>Předmětem této smlouvy je závazek Poskytovatele poskytovat Objednateli služby</w:t>
      </w:r>
      <w:r w:rsidR="0085085A" w:rsidRPr="00726798">
        <w:rPr>
          <w:rFonts w:ascii="Arial" w:hAnsi="Arial" w:cs="Arial"/>
        </w:rPr>
        <w:t>, a to jako</w:t>
      </w:r>
      <w:r w:rsidR="00726798">
        <w:rPr>
          <w:rFonts w:ascii="Arial" w:hAnsi="Arial" w:cs="Arial"/>
        </w:rPr>
        <w:t xml:space="preserve"> </w:t>
      </w:r>
      <w:r w:rsidR="00574D57" w:rsidRPr="00726798">
        <w:rPr>
          <w:rFonts w:ascii="Arial" w:hAnsi="Arial" w:cs="Arial"/>
        </w:rPr>
        <w:t>PR specialista junior</w:t>
      </w:r>
      <w:r w:rsidR="0085085A" w:rsidRPr="00726798">
        <w:rPr>
          <w:rFonts w:ascii="Arial" w:hAnsi="Arial" w:cs="Arial"/>
        </w:rPr>
        <w:t xml:space="preserve">, </w:t>
      </w:r>
      <w:r w:rsidRPr="00726798">
        <w:rPr>
          <w:rFonts w:ascii="Arial" w:hAnsi="Arial" w:cs="Arial"/>
        </w:rPr>
        <w:t xml:space="preserve">v rozsahu nejvýše </w:t>
      </w:r>
      <w:r w:rsidR="00574D57" w:rsidRPr="00726798">
        <w:rPr>
          <w:rFonts w:ascii="Arial" w:hAnsi="Arial" w:cs="Arial"/>
        </w:rPr>
        <w:t>165 hodin měsíčně</w:t>
      </w:r>
      <w:r w:rsidRPr="00726798">
        <w:rPr>
          <w:rFonts w:ascii="Arial" w:hAnsi="Arial" w:cs="Arial"/>
        </w:rPr>
        <w:t>, a to dle pokynů Objednatele.</w:t>
      </w:r>
      <w:r w:rsidR="00C96373" w:rsidRPr="00726798">
        <w:rPr>
          <w:rFonts w:ascii="Arial" w:hAnsi="Arial" w:cs="Arial"/>
        </w:rPr>
        <w:t xml:space="preserve"> Pro vyloučení jakýchkoliv pochybností se smluvní strany výslovně dohodly, že rozsah požadovaných služeb v daném měsíci je stanoven v pokynu Objednatele a Objednatel je oprávněn</w:t>
      </w:r>
      <w:r w:rsidR="00C96373" w:rsidRPr="001A385D">
        <w:rPr>
          <w:rFonts w:ascii="Arial" w:hAnsi="Arial" w:cs="Arial"/>
        </w:rPr>
        <w:t xml:space="preserve"> služby Poskytovatele nevyužít vůbec</w:t>
      </w:r>
      <w:r w:rsidR="00C96373" w:rsidRPr="009472D6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Bližší specifikace poskytovaných služeb a činnosti Poskytovatele je obsažena v Příloze č. 1 této smlouvy.</w:t>
      </w:r>
    </w:p>
    <w:p w:rsidR="00E70747" w:rsidRPr="009472D6" w:rsidRDefault="00E70747" w:rsidP="004B35B2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:rsidR="00360B99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:rsidR="00E70747" w:rsidRPr="009472D6" w:rsidRDefault="00E70747" w:rsidP="00360B99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:rsidR="00825ECC" w:rsidRPr="009472D6" w:rsidRDefault="00825ECC" w:rsidP="00026D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:rsidR="00825ECC" w:rsidRPr="009472D6" w:rsidRDefault="00825ECC" w:rsidP="0072679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poskytnout případná zplnomocnění pro zastupování Objednatele</w:t>
      </w:r>
      <w:r w:rsidR="00256DF9">
        <w:rPr>
          <w:rFonts w:ascii="Arial" w:hAnsi="Arial" w:cs="Arial"/>
        </w:rPr>
        <w:t>.</w:t>
      </w:r>
    </w:p>
    <w:p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85085A" w:rsidRPr="00BC4CF8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 xml:space="preserve">je </w:t>
      </w:r>
      <w:r w:rsidR="00551391">
        <w:rPr>
          <w:rFonts w:ascii="Arial" w:hAnsi="Arial" w:cs="Arial"/>
        </w:rPr>
        <w:t>XXXXXXXXXXXX</w:t>
      </w:r>
      <w:r w:rsidR="00256DF9">
        <w:rPr>
          <w:rFonts w:ascii="Arial" w:hAnsi="Arial" w:cs="Arial"/>
        </w:rPr>
        <w:t xml:space="preserve">, </w:t>
      </w:r>
      <w:r w:rsidR="00551391">
        <w:rPr>
          <w:rFonts w:ascii="Arial" w:hAnsi="Arial" w:cs="Arial"/>
        </w:rPr>
        <w:t>XXXXXXXXXXXXXXXXXXXXX</w:t>
      </w:r>
      <w:r w:rsidR="00256DF9">
        <w:rPr>
          <w:rFonts w:ascii="Arial" w:hAnsi="Arial" w:cs="Arial"/>
        </w:rPr>
        <w:t>, +</w:t>
      </w:r>
      <w:r w:rsidR="00551391">
        <w:rPr>
          <w:rFonts w:ascii="Arial" w:hAnsi="Arial" w:cs="Arial"/>
        </w:rPr>
        <w:t>XXXXXX</w:t>
      </w:r>
      <w:bookmarkStart w:id="2" w:name="_GoBack"/>
      <w:bookmarkEnd w:id="2"/>
      <w:r w:rsidR="00551391">
        <w:rPr>
          <w:rFonts w:ascii="Arial" w:hAnsi="Arial" w:cs="Arial"/>
        </w:rPr>
        <w:t>XXXXXX</w:t>
      </w:r>
      <w:r w:rsidR="00256DF9">
        <w:rPr>
          <w:rFonts w:ascii="Arial" w:hAnsi="Arial" w:cs="Arial"/>
        </w:rPr>
        <w:t>.</w:t>
      </w:r>
    </w:p>
    <w:p w:rsidR="0085085A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E70747" w:rsidRPr="009472D6" w:rsidRDefault="00E70747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3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:rsidR="009472D6" w:rsidRPr="009472D6" w:rsidRDefault="009472D6" w:rsidP="00026D9E">
      <w:pPr>
        <w:pStyle w:val="Odstavecseseznamem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se zavazuje za poskytnutí služeb v rozsahu dle čl. II této smlouvy uhradit Poskytovateli hodinovou odměnu ve výši </w:t>
      </w:r>
      <w:r w:rsidR="00F72CA1">
        <w:rPr>
          <w:rFonts w:ascii="Arial" w:hAnsi="Arial" w:cs="Arial"/>
          <w:b/>
        </w:rPr>
        <w:t xml:space="preserve">200 Kč / </w:t>
      </w:r>
      <w:r w:rsidRPr="004E30ED">
        <w:rPr>
          <w:rFonts w:ascii="Arial" w:hAnsi="Arial" w:cs="Arial"/>
          <w:b/>
          <w:bCs/>
        </w:rPr>
        <w:t xml:space="preserve">hod. </w:t>
      </w:r>
      <w:r w:rsidRPr="004E30ED">
        <w:rPr>
          <w:rFonts w:ascii="Arial" w:hAnsi="Arial" w:cs="Arial"/>
        </w:rPr>
        <w:t xml:space="preserve">(slovy </w:t>
      </w:r>
      <w:r w:rsidR="00F72CA1">
        <w:rPr>
          <w:rFonts w:ascii="Arial" w:hAnsi="Arial" w:cs="Arial"/>
        </w:rPr>
        <w:t xml:space="preserve">dvě stě </w:t>
      </w:r>
      <w:r w:rsidRPr="004E30ED">
        <w:rPr>
          <w:rFonts w:ascii="Arial" w:hAnsi="Arial" w:cs="Arial"/>
        </w:rPr>
        <w:t>korun českých).</w:t>
      </w:r>
      <w:r w:rsidRPr="009472D6">
        <w:rPr>
          <w:rFonts w:ascii="Arial" w:hAnsi="Arial" w:cs="Arial"/>
        </w:rPr>
        <w:t xml:space="preserve"> Strany se dohodly na tom, že celkový počet hodin poskytování </w:t>
      </w:r>
      <w:r w:rsidRPr="00726798">
        <w:rPr>
          <w:rFonts w:ascii="Arial" w:hAnsi="Arial" w:cs="Arial"/>
        </w:rPr>
        <w:t xml:space="preserve">služeb dle této smlouvy nepřesáhne </w:t>
      </w:r>
      <w:r w:rsidR="00F72CA1" w:rsidRPr="00726798">
        <w:rPr>
          <w:rFonts w:ascii="Arial" w:hAnsi="Arial" w:cs="Arial"/>
        </w:rPr>
        <w:t xml:space="preserve">165 </w:t>
      </w:r>
      <w:r w:rsidRPr="00726798">
        <w:rPr>
          <w:rFonts w:ascii="Arial" w:hAnsi="Arial" w:cs="Arial"/>
        </w:rPr>
        <w:t>hodin poskytování služeb měsíčně. Poskytovatel není plátcem DPH.</w:t>
      </w:r>
    </w:p>
    <w:p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V odměně dle odst. 1 jsou zahrnuty veškeré náklady Poskytovatele na poskytování služeb, a to včetně nákladů výslovně v této smlouvě neuvedených. Pro vyloučení pochybností se stanoví, že v odměnách jsou zahrnuty i náklady na veškeré poštovné, hovorné a cestovné po Praze. V případě požadavku Objednatele na poskytování služeb na jiném místě než v Praze,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</w:t>
      </w:r>
      <w:proofErr w:type="spellStart"/>
      <w:r w:rsidRPr="009472D6">
        <w:rPr>
          <w:rFonts w:ascii="Arial" w:hAnsi="Arial" w:cs="Arial"/>
        </w:rPr>
        <w:t>přefakturace</w:t>
      </w:r>
      <w:proofErr w:type="spellEnd"/>
      <w:r w:rsidRPr="009472D6">
        <w:rPr>
          <w:rFonts w:ascii="Arial" w:hAnsi="Arial" w:cs="Arial"/>
        </w:rPr>
        <w:t xml:space="preserve"> skutečných doložených výdajů.</w:t>
      </w:r>
    </w:p>
    <w:p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lastRenderedPageBreak/>
        <w:t xml:space="preserve">Poskytnuté služby budou fakturovány měsíčně, vždy nejpozději do 15. dne měsíce následujícího po měsíci, v němž byly služby Poskytovatelem poskytnuty, a to po předchozím odsouhlasení Zhotovitelem předloženého písemného výkazu poskytnutých služeb kontaktní osobou dle čl. III odst. 4 této smlouvy. Faktury mohou být Poskytovatelem vystaveny pouze v elektronické podobě a zaslány na e-mailovou adresu Objednatele: </w:t>
      </w:r>
      <w:hyperlink r:id="rId8" w:history="1">
        <w:r w:rsidR="00551391" w:rsidRPr="00A73E6E">
          <w:rPr>
            <w:rStyle w:val="Hypertextovodkaz"/>
            <w:rFonts w:ascii="Arial" w:hAnsi="Arial" w:cs="Arial"/>
            <w:lang w:bidi="en-US"/>
          </w:rPr>
          <w:t>faktury@ngprague.cz</w:t>
        </w:r>
      </w:hyperlink>
      <w:r w:rsidRPr="009472D6">
        <w:rPr>
          <w:rFonts w:ascii="Arial" w:hAnsi="Arial" w:cs="Arial"/>
          <w:lang w:bidi="en-US"/>
        </w:rPr>
        <w:t>.</w:t>
      </w:r>
    </w:p>
    <w:p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:rsidR="009472D6" w:rsidRPr="009472D6" w:rsidRDefault="009472D6" w:rsidP="004B35B2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:rsidR="004B35B2" w:rsidRDefault="004B35B2" w:rsidP="004B35B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  <w:bookmarkStart w:id="4" w:name="_Ref389237977"/>
      <w:bookmarkEnd w:id="3"/>
    </w:p>
    <w:p w:rsidR="004B35B2" w:rsidRDefault="004B35B2" w:rsidP="004B35B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B6716E" w:rsidRPr="009472D6" w:rsidRDefault="00B6716E" w:rsidP="004B35B2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Obě smluvní strany </w:t>
      </w:r>
      <w:r w:rsidRPr="00726798">
        <w:rPr>
          <w:rFonts w:ascii="Arial" w:hAnsi="Arial" w:cs="Arial"/>
        </w:rPr>
        <w:t>jsou oprávněny ukončit tuto smlouvu písemnou výpo</w:t>
      </w:r>
      <w:r w:rsidR="00F06C04" w:rsidRPr="00726798">
        <w:rPr>
          <w:rFonts w:ascii="Arial" w:hAnsi="Arial" w:cs="Arial"/>
        </w:rPr>
        <w:t xml:space="preserve">vědí. Výpovědní doba činí </w:t>
      </w:r>
      <w:r w:rsidR="00683192">
        <w:rPr>
          <w:rFonts w:ascii="Arial" w:hAnsi="Arial" w:cs="Arial"/>
        </w:rPr>
        <w:t>dva</w:t>
      </w:r>
      <w:r w:rsidR="00683192" w:rsidRPr="00726798">
        <w:rPr>
          <w:rFonts w:ascii="Arial" w:hAnsi="Arial" w:cs="Arial"/>
        </w:rPr>
        <w:t xml:space="preserve"> </w:t>
      </w:r>
      <w:r w:rsidR="00931EB2">
        <w:rPr>
          <w:rFonts w:ascii="Arial" w:hAnsi="Arial" w:cs="Arial"/>
        </w:rPr>
        <w:t>(</w:t>
      </w:r>
      <w:r w:rsidR="00683192">
        <w:rPr>
          <w:rFonts w:ascii="Arial" w:hAnsi="Arial" w:cs="Arial"/>
        </w:rPr>
        <w:t>2</w:t>
      </w:r>
      <w:r w:rsidR="00931EB2">
        <w:rPr>
          <w:rFonts w:ascii="Arial" w:hAnsi="Arial" w:cs="Arial"/>
        </w:rPr>
        <w:t>)</w:t>
      </w:r>
      <w:r w:rsidR="00683192" w:rsidRPr="00726798">
        <w:rPr>
          <w:rFonts w:ascii="Arial" w:hAnsi="Arial" w:cs="Arial"/>
        </w:rPr>
        <w:t xml:space="preserve"> </w:t>
      </w:r>
      <w:r w:rsidR="00F06C04" w:rsidRPr="00726798">
        <w:rPr>
          <w:rFonts w:ascii="Arial" w:hAnsi="Arial" w:cs="Arial"/>
        </w:rPr>
        <w:t>měsíc</w:t>
      </w:r>
      <w:r w:rsidR="00683192">
        <w:rPr>
          <w:rFonts w:ascii="Arial" w:hAnsi="Arial" w:cs="Arial"/>
        </w:rPr>
        <w:t>e</w:t>
      </w:r>
      <w:r w:rsidRPr="00726798">
        <w:rPr>
          <w:rFonts w:ascii="Arial" w:hAnsi="Arial" w:cs="Arial"/>
        </w:rPr>
        <w:t xml:space="preserve"> a</w:t>
      </w:r>
      <w:r w:rsidRPr="009472D6">
        <w:rPr>
          <w:rFonts w:ascii="Arial" w:hAnsi="Arial" w:cs="Arial"/>
        </w:rPr>
        <w:t xml:space="preserve"> počíná běžet prvním dnem měsíce následujícího po měsíci, v němž došlo k doručení výpovědi druhé smluvní straně.</w:t>
      </w:r>
    </w:p>
    <w:p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4"/>
    <w:p w:rsidR="00B6716E" w:rsidRPr="009472D6" w:rsidRDefault="004B35B2" w:rsidP="004B35B2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VI.</w:t>
      </w:r>
    </w:p>
    <w:p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lastRenderedPageBreak/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:rsidR="00B6716E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E70747" w:rsidRPr="009472D6" w:rsidRDefault="00E70747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</w:t>
      </w:r>
      <w:r w:rsidR="00931EB2">
        <w:rPr>
          <w:rFonts w:ascii="Arial" w:hAnsi="Arial" w:cs="Arial"/>
          <w:b w:val="0"/>
          <w:color w:val="000000"/>
          <w:sz w:val="22"/>
          <w:szCs w:val="22"/>
        </w:rPr>
        <w:t xml:space="preserve">určitou, a to do 31. 10. 2022. </w:t>
      </w:r>
      <w:r w:rsidRPr="009472D6">
        <w:rPr>
          <w:rFonts w:ascii="Arial" w:hAnsi="Arial" w:cs="Arial"/>
          <w:b w:val="0"/>
          <w:sz w:val="22"/>
          <w:szCs w:val="22"/>
        </w:rPr>
        <w:t xml:space="preserve">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 xml:space="preserve">. </w:t>
      </w:r>
      <w:proofErr w:type="gramStart"/>
      <w:r w:rsidRPr="009472D6">
        <w:rPr>
          <w:rFonts w:ascii="Arial" w:hAnsi="Arial" w:cs="Arial"/>
        </w:rPr>
        <w:t>zák.</w:t>
      </w:r>
      <w:proofErr w:type="gramEnd"/>
      <w:r w:rsidRPr="009472D6">
        <w:rPr>
          <w:rFonts w:ascii="Arial" w:hAnsi="Arial" w:cs="Arial"/>
        </w:rPr>
        <w:t xml:space="preserve"> se neužijí.</w:t>
      </w:r>
    </w:p>
    <w:p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161FD" w:rsidRDefault="00E25D6A" w:rsidP="000571A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055BCE">
        <w:rPr>
          <w:rFonts w:ascii="Arial" w:hAnsi="Arial" w:cs="Arial"/>
          <w:color w:val="000000"/>
        </w:rPr>
        <w:t>…..</w:t>
      </w:r>
      <w:r w:rsidR="00B6716E" w:rsidRPr="009472D6">
        <w:rPr>
          <w:rFonts w:ascii="Arial" w:hAnsi="Arial" w:cs="Arial"/>
          <w:color w:val="000000"/>
        </w:rPr>
        <w:t xml:space="preserve">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055BCE">
        <w:rPr>
          <w:rFonts w:ascii="Arial" w:hAnsi="Arial" w:cs="Arial"/>
          <w:color w:val="000000"/>
        </w:rPr>
        <w:tab/>
        <w:t xml:space="preserve"> </w:t>
      </w:r>
      <w:r w:rsidR="00055BCE">
        <w:rPr>
          <w:rFonts w:ascii="Arial" w:hAnsi="Arial" w:cs="Arial"/>
          <w:color w:val="000000"/>
        </w:rPr>
        <w:tab/>
      </w:r>
      <w:r w:rsidR="00055BCE" w:rsidRPr="009472D6">
        <w:rPr>
          <w:rFonts w:ascii="Arial" w:hAnsi="Arial" w:cs="Arial"/>
          <w:color w:val="000000"/>
        </w:rPr>
        <w:t>V Praze, dne …………</w:t>
      </w:r>
      <w:r w:rsidR="00055BCE">
        <w:rPr>
          <w:rFonts w:ascii="Arial" w:hAnsi="Arial" w:cs="Arial"/>
          <w:color w:val="000000"/>
        </w:rPr>
        <w:t>…..</w:t>
      </w:r>
      <w:r w:rsidR="00055BCE" w:rsidRPr="009472D6">
        <w:rPr>
          <w:rFonts w:ascii="Arial" w:hAnsi="Arial" w:cs="Arial"/>
          <w:color w:val="000000"/>
        </w:rPr>
        <w:t xml:space="preserve">  </w:t>
      </w:r>
    </w:p>
    <w:p w:rsidR="002161FD" w:rsidRDefault="002161FD" w:rsidP="000571AF">
      <w:pPr>
        <w:spacing w:after="0" w:line="240" w:lineRule="auto"/>
        <w:rPr>
          <w:rFonts w:ascii="Arial" w:hAnsi="Arial" w:cs="Arial"/>
          <w:color w:val="000000"/>
        </w:rPr>
      </w:pPr>
    </w:p>
    <w:p w:rsidR="00B6716E" w:rsidRPr="009472D6" w:rsidRDefault="00055BCE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9472D6">
        <w:rPr>
          <w:rFonts w:ascii="Arial" w:hAnsi="Arial" w:cs="Arial"/>
          <w:color w:val="000000"/>
        </w:rPr>
        <w:t xml:space="preserve">        </w:t>
      </w:r>
    </w:p>
    <w:p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:rsidTr="008E6ECA">
        <w:trPr>
          <w:trHeight w:val="135"/>
        </w:trPr>
        <w:tc>
          <w:tcPr>
            <w:tcW w:w="4056" w:type="dxa"/>
            <w:shd w:val="clear" w:color="auto" w:fill="auto"/>
          </w:tcPr>
          <w:p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:rsidR="00B6716E" w:rsidRPr="009472D6" w:rsidRDefault="00055BC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6716E" w:rsidRPr="009472D6">
              <w:rPr>
                <w:rFonts w:ascii="Arial" w:hAnsi="Arial" w:cs="Arial"/>
              </w:rPr>
              <w:t>Za poskytovatele:</w:t>
            </w:r>
            <w:r w:rsidR="00256DF9">
              <w:rPr>
                <w:rFonts w:ascii="Arial" w:hAnsi="Arial" w:cs="Arial"/>
              </w:rPr>
              <w:t xml:space="preserve"> </w:t>
            </w:r>
          </w:p>
        </w:tc>
      </w:tr>
      <w:tr w:rsidR="00055BCE" w:rsidRPr="009472D6" w:rsidTr="008E6ECA">
        <w:trPr>
          <w:trHeight w:val="135"/>
        </w:trPr>
        <w:tc>
          <w:tcPr>
            <w:tcW w:w="4056" w:type="dxa"/>
            <w:shd w:val="clear" w:color="auto" w:fill="auto"/>
          </w:tcPr>
          <w:p w:rsidR="00055BCE" w:rsidRPr="009472D6" w:rsidRDefault="00055BC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shd w:val="clear" w:color="auto" w:fill="auto"/>
          </w:tcPr>
          <w:p w:rsidR="00055BCE" w:rsidRPr="009472D6" w:rsidRDefault="00055BC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</w:p>
        </w:tc>
      </w:tr>
    </w:tbl>
    <w:p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055BCE">
        <w:rPr>
          <w:rFonts w:ascii="Arial" w:hAnsi="Arial" w:cs="Arial"/>
        </w:rPr>
        <w:t xml:space="preserve">  </w:t>
      </w:r>
      <w:r w:rsidR="00BC4CF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:rsidR="00B6716E" w:rsidRPr="009472D6" w:rsidRDefault="00726798" w:rsidP="007267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56DF9">
        <w:rPr>
          <w:rFonts w:ascii="Arial" w:hAnsi="Arial" w:cs="Arial"/>
        </w:rPr>
        <w:t>Alicja Knast</w:t>
      </w:r>
      <w:r w:rsidR="00256DF9" w:rsidRPr="001A385D">
        <w:rPr>
          <w:rFonts w:ascii="Arial" w:hAnsi="Arial" w:cs="Arial"/>
        </w:rPr>
        <w:t xml:space="preserve"> 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</w:t>
      </w:r>
      <w:r w:rsidR="00E70747">
        <w:rPr>
          <w:rFonts w:ascii="Arial" w:hAnsi="Arial" w:cs="Arial"/>
        </w:rPr>
        <w:t xml:space="preserve">         </w:t>
      </w:r>
      <w:r w:rsidR="00055BCE">
        <w:rPr>
          <w:rFonts w:ascii="Arial" w:hAnsi="Arial" w:cs="Arial"/>
        </w:rPr>
        <w:t xml:space="preserve">  </w:t>
      </w:r>
      <w:r w:rsidR="002161FD">
        <w:rPr>
          <w:rFonts w:ascii="Arial" w:hAnsi="Arial" w:cs="Arial"/>
        </w:rPr>
        <w:tab/>
      </w:r>
      <w:r w:rsidR="002161FD">
        <w:rPr>
          <w:rFonts w:ascii="Arial" w:hAnsi="Arial" w:cs="Arial"/>
        </w:rPr>
        <w:tab/>
      </w:r>
      <w:r w:rsidR="00856049">
        <w:rPr>
          <w:rFonts w:ascii="Arial" w:hAnsi="Arial" w:cs="Arial"/>
        </w:rPr>
        <w:t>Mgr. Dagmar Husárová</w:t>
      </w:r>
      <w:r w:rsidR="00256DF9" w:rsidRPr="00442DC8">
        <w:rPr>
          <w:rFonts w:ascii="Arial" w:hAnsi="Arial" w:cs="Arial"/>
        </w:rPr>
        <w:t xml:space="preserve"> </w:t>
      </w:r>
    </w:p>
    <w:p w:rsidR="00B6716E" w:rsidRPr="009472D6" w:rsidRDefault="00256DF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  <w:r>
        <w:rPr>
          <w:rFonts w:ascii="Arial" w:hAnsi="Arial" w:cs="Arial"/>
        </w:rPr>
        <w:t>Generální ředitelka NGP</w:t>
      </w:r>
    </w:p>
    <w:p w:rsidR="002053A9" w:rsidRDefault="00B6716E" w:rsidP="00B2194D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32A9" w:rsidRPr="002053A9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lastRenderedPageBreak/>
        <w:t>Příloha č. 1: Specifikace služeb</w:t>
      </w:r>
    </w:p>
    <w:p w:rsidR="00B6716E" w:rsidRPr="002053A9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:rsidR="006D03D7" w:rsidRPr="006D03D7" w:rsidRDefault="006D03D7" w:rsidP="006D03D7">
      <w:pPr>
        <w:pStyle w:val="Nadpis1"/>
        <w:keepNext w:val="0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D03D7">
        <w:rPr>
          <w:rFonts w:ascii="Arial" w:hAnsi="Arial" w:cs="Arial"/>
          <w:b w:val="0"/>
          <w:color w:val="000000"/>
          <w:sz w:val="22"/>
          <w:szCs w:val="22"/>
        </w:rPr>
        <w:t>Zajišťuje podporu public relations činnosti tak, aby byly splněny cíle</w:t>
      </w:r>
      <w:r w:rsidR="00BF0F47">
        <w:rPr>
          <w:rFonts w:ascii="Arial" w:hAnsi="Arial" w:cs="Arial"/>
          <w:b w:val="0"/>
          <w:color w:val="000000"/>
          <w:sz w:val="22"/>
          <w:szCs w:val="22"/>
        </w:rPr>
        <w:t xml:space="preserve"> stanovené v rámci Oddělení PR</w:t>
      </w:r>
      <w:r w:rsidR="008E6804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6D03D7" w:rsidRPr="006D03D7" w:rsidRDefault="006D03D7" w:rsidP="006D03D7">
      <w:pPr>
        <w:pStyle w:val="Nadpis1"/>
        <w:keepNext w:val="0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D03D7">
        <w:rPr>
          <w:rFonts w:ascii="Arial" w:hAnsi="Arial" w:cs="Arial"/>
          <w:b w:val="0"/>
          <w:color w:val="000000"/>
          <w:sz w:val="22"/>
          <w:szCs w:val="22"/>
        </w:rPr>
        <w:t>Vytváří kreativní obsah na sociálních sítích (dle strategických cílů určených Oddělením vizuální a digitální komunikace a dle komunikační strategie</w:t>
      </w:r>
      <w:r w:rsidR="008E6804">
        <w:rPr>
          <w:rFonts w:ascii="Arial" w:hAnsi="Arial" w:cs="Arial"/>
          <w:b w:val="0"/>
          <w:color w:val="000000"/>
          <w:sz w:val="22"/>
          <w:szCs w:val="22"/>
        </w:rPr>
        <w:t>).</w:t>
      </w:r>
    </w:p>
    <w:p w:rsidR="006D03D7" w:rsidRPr="006D03D7" w:rsidRDefault="006D03D7" w:rsidP="006D03D7">
      <w:pPr>
        <w:pStyle w:val="Nadpis1"/>
        <w:keepNext w:val="0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D03D7">
        <w:rPr>
          <w:rFonts w:ascii="Arial" w:hAnsi="Arial" w:cs="Arial"/>
          <w:b w:val="0"/>
          <w:color w:val="000000"/>
          <w:sz w:val="22"/>
          <w:szCs w:val="22"/>
        </w:rPr>
        <w:t>Spoluprá</w:t>
      </w:r>
      <w:r w:rsidR="008E6804">
        <w:rPr>
          <w:rFonts w:ascii="Arial" w:hAnsi="Arial" w:cs="Arial"/>
          <w:b w:val="0"/>
          <w:color w:val="000000"/>
          <w:sz w:val="22"/>
          <w:szCs w:val="22"/>
        </w:rPr>
        <w:t xml:space="preserve">ce s Digital </w:t>
      </w:r>
      <w:proofErr w:type="spellStart"/>
      <w:r w:rsidR="008E6804">
        <w:rPr>
          <w:rFonts w:ascii="Arial" w:hAnsi="Arial" w:cs="Arial"/>
          <w:b w:val="0"/>
          <w:color w:val="000000"/>
          <w:sz w:val="22"/>
          <w:szCs w:val="22"/>
        </w:rPr>
        <w:t>Content</w:t>
      </w:r>
      <w:proofErr w:type="spellEnd"/>
      <w:r w:rsidR="008E680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8E6804">
        <w:rPr>
          <w:rFonts w:ascii="Arial" w:hAnsi="Arial" w:cs="Arial"/>
          <w:b w:val="0"/>
          <w:color w:val="000000"/>
          <w:sz w:val="22"/>
          <w:szCs w:val="22"/>
        </w:rPr>
        <w:t>Specialist</w:t>
      </w:r>
      <w:proofErr w:type="spellEnd"/>
      <w:r w:rsidR="008E6804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6D03D7" w:rsidRPr="006D03D7" w:rsidRDefault="006D03D7" w:rsidP="006D03D7">
      <w:pPr>
        <w:pStyle w:val="Nadpis1"/>
        <w:keepNext w:val="0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D03D7">
        <w:rPr>
          <w:rFonts w:ascii="Arial" w:hAnsi="Arial" w:cs="Arial"/>
          <w:b w:val="0"/>
          <w:color w:val="000000"/>
          <w:sz w:val="22"/>
          <w:szCs w:val="22"/>
        </w:rPr>
        <w:t>Budování vztahu s</w:t>
      </w:r>
      <w:r w:rsidR="008E6804">
        <w:rPr>
          <w:rFonts w:ascii="Arial" w:hAnsi="Arial" w:cs="Arial"/>
          <w:b w:val="0"/>
          <w:color w:val="000000"/>
          <w:sz w:val="22"/>
          <w:szCs w:val="22"/>
        </w:rPr>
        <w:t> </w:t>
      </w:r>
      <w:proofErr w:type="spellStart"/>
      <w:r w:rsidRPr="006D03D7">
        <w:rPr>
          <w:rFonts w:ascii="Arial" w:hAnsi="Arial" w:cs="Arial"/>
          <w:b w:val="0"/>
          <w:color w:val="000000"/>
          <w:sz w:val="22"/>
          <w:szCs w:val="22"/>
        </w:rPr>
        <w:t>influencery</w:t>
      </w:r>
      <w:proofErr w:type="spellEnd"/>
      <w:r w:rsidR="008E6804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6D03D7" w:rsidRPr="006D03D7" w:rsidRDefault="006D03D7" w:rsidP="006D03D7">
      <w:pPr>
        <w:pStyle w:val="Nadpis1"/>
        <w:keepNext w:val="0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D03D7">
        <w:rPr>
          <w:rFonts w:ascii="Arial" w:hAnsi="Arial" w:cs="Arial"/>
          <w:b w:val="0"/>
          <w:color w:val="000000"/>
          <w:sz w:val="22"/>
          <w:szCs w:val="22"/>
        </w:rPr>
        <w:t>Sledování trendů v online komunikaci</w:t>
      </w:r>
      <w:r w:rsidR="008E6804">
        <w:rPr>
          <w:rFonts w:ascii="Arial" w:hAnsi="Arial" w:cs="Arial"/>
          <w:b w:val="0"/>
          <w:color w:val="000000"/>
          <w:sz w:val="22"/>
          <w:szCs w:val="22"/>
        </w:rPr>
        <w:t>.</w:t>
      </w:r>
      <w:r w:rsidRPr="006D03D7">
        <w:rPr>
          <w:rFonts w:ascii="Arial" w:hAnsi="Arial" w:cs="Arial"/>
          <w:b w:val="0"/>
          <w:color w:val="000000"/>
          <w:sz w:val="22"/>
          <w:szCs w:val="22"/>
        </w:rPr>
        <w:t xml:space="preserve">  </w:t>
      </w:r>
    </w:p>
    <w:p w:rsidR="006D03D7" w:rsidRPr="006D03D7" w:rsidRDefault="006D03D7" w:rsidP="006D03D7">
      <w:pPr>
        <w:pStyle w:val="Nadpis1"/>
        <w:keepNext w:val="0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D03D7">
        <w:rPr>
          <w:rFonts w:ascii="Arial" w:hAnsi="Arial" w:cs="Arial"/>
          <w:b w:val="0"/>
          <w:color w:val="000000"/>
          <w:sz w:val="22"/>
          <w:szCs w:val="22"/>
        </w:rPr>
        <w:t xml:space="preserve">Nastavuje harmonogram příspěvků a distribuci informací napříč sociálními sítěmi (ve spolupráci s Digital </w:t>
      </w:r>
      <w:proofErr w:type="spellStart"/>
      <w:r w:rsidRPr="006D03D7">
        <w:rPr>
          <w:rFonts w:ascii="Arial" w:hAnsi="Arial" w:cs="Arial"/>
          <w:b w:val="0"/>
          <w:color w:val="000000"/>
          <w:sz w:val="22"/>
          <w:szCs w:val="22"/>
        </w:rPr>
        <w:t>Content</w:t>
      </w:r>
      <w:proofErr w:type="spellEnd"/>
      <w:r w:rsidRPr="006D03D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Pr="006D03D7">
        <w:rPr>
          <w:rFonts w:ascii="Arial" w:hAnsi="Arial" w:cs="Arial"/>
          <w:b w:val="0"/>
          <w:color w:val="000000"/>
          <w:sz w:val="22"/>
          <w:szCs w:val="22"/>
        </w:rPr>
        <w:t>specialist</w:t>
      </w:r>
      <w:proofErr w:type="spellEnd"/>
      <w:r w:rsidRPr="006D03D7">
        <w:rPr>
          <w:rFonts w:ascii="Arial" w:hAnsi="Arial" w:cs="Arial"/>
          <w:b w:val="0"/>
          <w:color w:val="000000"/>
          <w:sz w:val="22"/>
          <w:szCs w:val="22"/>
        </w:rPr>
        <w:t>) prostřednictvím</w:t>
      </w:r>
      <w:r w:rsidR="008E6804">
        <w:rPr>
          <w:rFonts w:ascii="Arial" w:hAnsi="Arial" w:cs="Arial"/>
          <w:b w:val="0"/>
          <w:color w:val="000000"/>
          <w:sz w:val="22"/>
          <w:szCs w:val="22"/>
        </w:rPr>
        <w:t xml:space="preserve"> online komunikačních nástrojů.</w:t>
      </w:r>
    </w:p>
    <w:p w:rsidR="00026D9E" w:rsidRPr="001C1034" w:rsidRDefault="006D03D7" w:rsidP="006D03D7">
      <w:pPr>
        <w:pStyle w:val="Nadpis1"/>
        <w:keepNext w:val="0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6D03D7">
        <w:rPr>
          <w:rFonts w:ascii="Arial" w:hAnsi="Arial" w:cs="Arial"/>
          <w:b w:val="0"/>
          <w:color w:val="000000"/>
          <w:sz w:val="22"/>
          <w:szCs w:val="22"/>
        </w:rPr>
        <w:t>A plní další úkoly nebo vykonává činnosti dle pokynů nadřízeného.</w:t>
      </w:r>
    </w:p>
    <w:sectPr w:rsidR="00026D9E" w:rsidRPr="001C1034" w:rsidSect="008E6ECA">
      <w:headerReference w:type="default" r:id="rId9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3A9685" w16cid:durableId="218FBCFD"/>
  <w16cid:commentId w16cid:paraId="2AD682C3" w16cid:durableId="218FB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9A" w:rsidRDefault="007C089A">
      <w:pPr>
        <w:spacing w:after="0" w:line="240" w:lineRule="auto"/>
      </w:pPr>
      <w:r>
        <w:separator/>
      </w:r>
    </w:p>
  </w:endnote>
  <w:endnote w:type="continuationSeparator" w:id="0">
    <w:p w:rsidR="007C089A" w:rsidRDefault="007C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9A" w:rsidRDefault="007C089A">
      <w:pPr>
        <w:spacing w:after="0" w:line="240" w:lineRule="auto"/>
      </w:pPr>
      <w:r>
        <w:separator/>
      </w:r>
    </w:p>
  </w:footnote>
  <w:footnote w:type="continuationSeparator" w:id="0">
    <w:p w:rsidR="007C089A" w:rsidRDefault="007C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CA" w:rsidRDefault="008E6ECA" w:rsidP="008E6EC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56A27F" wp14:editId="11A4A22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6ECA" w:rsidRDefault="008E6ECA" w:rsidP="008E6ECA">
    <w:pPr>
      <w:pStyle w:val="Zhlav"/>
      <w:jc w:val="right"/>
    </w:pPr>
  </w:p>
  <w:p w:rsidR="008E6ECA" w:rsidRDefault="008E6ECA" w:rsidP="008E6ECA">
    <w:pPr>
      <w:pStyle w:val="Zhlav"/>
      <w:jc w:val="right"/>
    </w:pPr>
  </w:p>
  <w:p w:rsidR="008E6ECA" w:rsidRDefault="008E6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5888"/>
    <w:multiLevelType w:val="hybridMultilevel"/>
    <w:tmpl w:val="6060D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1B72"/>
    <w:multiLevelType w:val="hybridMultilevel"/>
    <w:tmpl w:val="4240FB3A"/>
    <w:lvl w:ilvl="0" w:tplc="A83A4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5EE8"/>
    <w:multiLevelType w:val="hybridMultilevel"/>
    <w:tmpl w:val="48CC5036"/>
    <w:lvl w:ilvl="0" w:tplc="A83A4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D0036"/>
    <w:multiLevelType w:val="multilevel"/>
    <w:tmpl w:val="B16AA5D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25"/>
  </w:num>
  <w:num w:numId="5">
    <w:abstractNumId w:val="24"/>
  </w:num>
  <w:num w:numId="6">
    <w:abstractNumId w:val="4"/>
  </w:num>
  <w:num w:numId="7">
    <w:abstractNumId w:val="7"/>
  </w:num>
  <w:num w:numId="8">
    <w:abstractNumId w:val="16"/>
  </w:num>
  <w:num w:numId="9">
    <w:abstractNumId w:val="20"/>
  </w:num>
  <w:num w:numId="10">
    <w:abstractNumId w:val="12"/>
  </w:num>
  <w:num w:numId="11">
    <w:abstractNumId w:val="8"/>
  </w:num>
  <w:num w:numId="12">
    <w:abstractNumId w:val="23"/>
  </w:num>
  <w:num w:numId="13">
    <w:abstractNumId w:val="27"/>
  </w:num>
  <w:num w:numId="14">
    <w:abstractNumId w:val="26"/>
  </w:num>
  <w:num w:numId="15">
    <w:abstractNumId w:val="17"/>
  </w:num>
  <w:num w:numId="16">
    <w:abstractNumId w:val="28"/>
  </w:num>
  <w:num w:numId="17">
    <w:abstractNumId w:val="1"/>
  </w:num>
  <w:num w:numId="18">
    <w:abstractNumId w:val="0"/>
  </w:num>
  <w:num w:numId="19">
    <w:abstractNumId w:val="9"/>
  </w:num>
  <w:num w:numId="20">
    <w:abstractNumId w:val="15"/>
  </w:num>
  <w:num w:numId="21">
    <w:abstractNumId w:val="14"/>
  </w:num>
  <w:num w:numId="22">
    <w:abstractNumId w:val="11"/>
  </w:num>
  <w:num w:numId="23">
    <w:abstractNumId w:val="13"/>
  </w:num>
  <w:num w:numId="24">
    <w:abstractNumId w:val="2"/>
  </w:num>
  <w:num w:numId="25">
    <w:abstractNumId w:val="18"/>
  </w:num>
  <w:num w:numId="26">
    <w:abstractNumId w:val="22"/>
  </w:num>
  <w:num w:numId="27">
    <w:abstractNumId w:val="10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89"/>
    <w:rsid w:val="00001268"/>
    <w:rsid w:val="00001762"/>
    <w:rsid w:val="00026D9E"/>
    <w:rsid w:val="000369BB"/>
    <w:rsid w:val="00044A64"/>
    <w:rsid w:val="00055BCE"/>
    <w:rsid w:val="000571AF"/>
    <w:rsid w:val="00064E3C"/>
    <w:rsid w:val="00075CF3"/>
    <w:rsid w:val="000912C1"/>
    <w:rsid w:val="000A6F93"/>
    <w:rsid w:val="000A76C8"/>
    <w:rsid w:val="000D2F39"/>
    <w:rsid w:val="000D397F"/>
    <w:rsid w:val="00105811"/>
    <w:rsid w:val="00143FD6"/>
    <w:rsid w:val="00151DF7"/>
    <w:rsid w:val="00186A8B"/>
    <w:rsid w:val="001A2AE1"/>
    <w:rsid w:val="001A3275"/>
    <w:rsid w:val="001A385D"/>
    <w:rsid w:val="001B2475"/>
    <w:rsid w:val="001C1034"/>
    <w:rsid w:val="001C6472"/>
    <w:rsid w:val="001D5492"/>
    <w:rsid w:val="002053A9"/>
    <w:rsid w:val="0021376D"/>
    <w:rsid w:val="002141B0"/>
    <w:rsid w:val="002161FD"/>
    <w:rsid w:val="0022172D"/>
    <w:rsid w:val="002243E8"/>
    <w:rsid w:val="0023378A"/>
    <w:rsid w:val="002412F4"/>
    <w:rsid w:val="00246CD6"/>
    <w:rsid w:val="00256DF9"/>
    <w:rsid w:val="002616E1"/>
    <w:rsid w:val="002D3C4B"/>
    <w:rsid w:val="002E05CF"/>
    <w:rsid w:val="002E7011"/>
    <w:rsid w:val="002F237B"/>
    <w:rsid w:val="003232A9"/>
    <w:rsid w:val="0033660C"/>
    <w:rsid w:val="003451CE"/>
    <w:rsid w:val="00353618"/>
    <w:rsid w:val="00360B99"/>
    <w:rsid w:val="00361401"/>
    <w:rsid w:val="00363AFD"/>
    <w:rsid w:val="00367B5C"/>
    <w:rsid w:val="00374070"/>
    <w:rsid w:val="003817B8"/>
    <w:rsid w:val="003872D1"/>
    <w:rsid w:val="00387F8A"/>
    <w:rsid w:val="003A140F"/>
    <w:rsid w:val="003A4F59"/>
    <w:rsid w:val="003D6D89"/>
    <w:rsid w:val="003E3A04"/>
    <w:rsid w:val="003F5152"/>
    <w:rsid w:val="0040405D"/>
    <w:rsid w:val="00405189"/>
    <w:rsid w:val="004351CE"/>
    <w:rsid w:val="00437B8D"/>
    <w:rsid w:val="004B35B2"/>
    <w:rsid w:val="004E30ED"/>
    <w:rsid w:val="00502ED7"/>
    <w:rsid w:val="005032D7"/>
    <w:rsid w:val="00513C87"/>
    <w:rsid w:val="00551391"/>
    <w:rsid w:val="005636D4"/>
    <w:rsid w:val="00574D57"/>
    <w:rsid w:val="00576F46"/>
    <w:rsid w:val="00580010"/>
    <w:rsid w:val="00595EF0"/>
    <w:rsid w:val="005A0C74"/>
    <w:rsid w:val="005B6F41"/>
    <w:rsid w:val="005C3C39"/>
    <w:rsid w:val="006338A0"/>
    <w:rsid w:val="006354AA"/>
    <w:rsid w:val="006469AD"/>
    <w:rsid w:val="006516AC"/>
    <w:rsid w:val="006520B1"/>
    <w:rsid w:val="00653B48"/>
    <w:rsid w:val="006779B1"/>
    <w:rsid w:val="00683192"/>
    <w:rsid w:val="00693716"/>
    <w:rsid w:val="006B4E0F"/>
    <w:rsid w:val="006D03D7"/>
    <w:rsid w:val="006E0C1C"/>
    <w:rsid w:val="006E76E9"/>
    <w:rsid w:val="0071004B"/>
    <w:rsid w:val="00724E1E"/>
    <w:rsid w:val="00725E72"/>
    <w:rsid w:val="00726798"/>
    <w:rsid w:val="00741F85"/>
    <w:rsid w:val="00754E34"/>
    <w:rsid w:val="00773EEF"/>
    <w:rsid w:val="00785550"/>
    <w:rsid w:val="00787EFE"/>
    <w:rsid w:val="007A1673"/>
    <w:rsid w:val="007B3347"/>
    <w:rsid w:val="007B5493"/>
    <w:rsid w:val="007C089A"/>
    <w:rsid w:val="007D6941"/>
    <w:rsid w:val="007F689A"/>
    <w:rsid w:val="00825ECC"/>
    <w:rsid w:val="00842DC6"/>
    <w:rsid w:val="00844F28"/>
    <w:rsid w:val="0085085A"/>
    <w:rsid w:val="00856049"/>
    <w:rsid w:val="008B35B8"/>
    <w:rsid w:val="008B3EBB"/>
    <w:rsid w:val="008C4269"/>
    <w:rsid w:val="008C4B9D"/>
    <w:rsid w:val="008E2190"/>
    <w:rsid w:val="008E24E6"/>
    <w:rsid w:val="008E6804"/>
    <w:rsid w:val="008E6ECA"/>
    <w:rsid w:val="00910F93"/>
    <w:rsid w:val="00914B26"/>
    <w:rsid w:val="00921C11"/>
    <w:rsid w:val="00931EB2"/>
    <w:rsid w:val="00940A08"/>
    <w:rsid w:val="009472D6"/>
    <w:rsid w:val="0094732F"/>
    <w:rsid w:val="0095168F"/>
    <w:rsid w:val="00951BDC"/>
    <w:rsid w:val="00960A4C"/>
    <w:rsid w:val="009746AF"/>
    <w:rsid w:val="00994195"/>
    <w:rsid w:val="009A2A70"/>
    <w:rsid w:val="009A48E7"/>
    <w:rsid w:val="009A6EDE"/>
    <w:rsid w:val="009C0F61"/>
    <w:rsid w:val="009E55E8"/>
    <w:rsid w:val="009F1ABE"/>
    <w:rsid w:val="00A46D80"/>
    <w:rsid w:val="00A65BDA"/>
    <w:rsid w:val="00AA1D17"/>
    <w:rsid w:val="00AB1EC2"/>
    <w:rsid w:val="00AC61B5"/>
    <w:rsid w:val="00AD172B"/>
    <w:rsid w:val="00AF1CF6"/>
    <w:rsid w:val="00B2194D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69D1"/>
    <w:rsid w:val="00B972BF"/>
    <w:rsid w:val="00BB49CA"/>
    <w:rsid w:val="00BC0D0D"/>
    <w:rsid w:val="00BC4CF8"/>
    <w:rsid w:val="00BC78EE"/>
    <w:rsid w:val="00BD66F8"/>
    <w:rsid w:val="00BF0F47"/>
    <w:rsid w:val="00BF42F2"/>
    <w:rsid w:val="00BF6323"/>
    <w:rsid w:val="00C22EC4"/>
    <w:rsid w:val="00C348F5"/>
    <w:rsid w:val="00C726A2"/>
    <w:rsid w:val="00C8224C"/>
    <w:rsid w:val="00C851F0"/>
    <w:rsid w:val="00C86566"/>
    <w:rsid w:val="00C8786E"/>
    <w:rsid w:val="00C96373"/>
    <w:rsid w:val="00C971EF"/>
    <w:rsid w:val="00CA2B4A"/>
    <w:rsid w:val="00CA3397"/>
    <w:rsid w:val="00CB065C"/>
    <w:rsid w:val="00CB2A87"/>
    <w:rsid w:val="00CD4B3D"/>
    <w:rsid w:val="00CF13FF"/>
    <w:rsid w:val="00D31F8D"/>
    <w:rsid w:val="00D67CF3"/>
    <w:rsid w:val="00D779D1"/>
    <w:rsid w:val="00D9370D"/>
    <w:rsid w:val="00DA261C"/>
    <w:rsid w:val="00E0587D"/>
    <w:rsid w:val="00E25D6A"/>
    <w:rsid w:val="00E4258F"/>
    <w:rsid w:val="00E70747"/>
    <w:rsid w:val="00E90940"/>
    <w:rsid w:val="00E93869"/>
    <w:rsid w:val="00E9651E"/>
    <w:rsid w:val="00EB6BC6"/>
    <w:rsid w:val="00EE6CFF"/>
    <w:rsid w:val="00F02F54"/>
    <w:rsid w:val="00F06C04"/>
    <w:rsid w:val="00F10AC8"/>
    <w:rsid w:val="00F11B98"/>
    <w:rsid w:val="00F31661"/>
    <w:rsid w:val="00F427E6"/>
    <w:rsid w:val="00F459BC"/>
    <w:rsid w:val="00F72CA1"/>
    <w:rsid w:val="00F75A64"/>
    <w:rsid w:val="00F80926"/>
    <w:rsid w:val="00F96615"/>
    <w:rsid w:val="00FB0786"/>
    <w:rsid w:val="00FB100F"/>
    <w:rsid w:val="00FC7AB1"/>
    <w:rsid w:val="00FE5024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FFB7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56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7E90-C039-4517-92E0-FCC7A802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1564</Words>
  <Characters>9231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3</cp:revision>
  <cp:lastPrinted>2021-03-26T12:45:00Z</cp:lastPrinted>
  <dcterms:created xsi:type="dcterms:W3CDTF">2021-11-02T15:54:00Z</dcterms:created>
  <dcterms:modified xsi:type="dcterms:W3CDTF">2021-11-23T07:43:00Z</dcterms:modified>
</cp:coreProperties>
</file>