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Smlouva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Níže uvedeného dne, měsíce a roku uzavírají "Smluvní strany"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ab/>
        <w:tab/>
        <w:t xml:space="preserve">ALPIQ ENERGY SE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  <w:t xml:space="preserve">Praha 1, Nové Město, Jungmannova 26/15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lČO:</w:t>
        <w:tab/>
        <w:tab/>
        <w:tab/>
        <w:tab/>
        <w:t xml:space="preserve">28477090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DIČ:</w:t>
        <w:tab/>
        <w:tab/>
        <w:tab/>
        <w:tab/>
        <w:t>CZ28477090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  <w:t xml:space="preserve">H 81 vedená u Městského soudu v Praze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Licence na obchod s plynem:</w:t>
        <w:tab/>
        <w:t xml:space="preserve">241432628 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Registrace OTE:</w:t>
        <w:tab/>
        <w:tab/>
        <w:tab/>
        <w:t>109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Bankovní spojení: </w:t>
        <w:tab/>
        <w:tab/>
        <w:tab/>
      </w:r>
      <w:r>
        <w:rPr>
          <w:rFonts w:cs="Calibri" w:ascii="Calibri" w:hAnsi="Calibri" w:asciiTheme="minorHAnsi" w:cstheme="minorHAnsi" w:hAnsiTheme="minorHAnsi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cs="Calibri" w:ascii="Calibri" w:hAnsi="Calibri" w:asciiTheme="minorHAnsi" w:cstheme="minorHAnsi" w:hAnsiTheme="minorHAnsi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datové schránky:</w:t>
        <w:tab/>
        <w:t xml:space="preserve">                yy6kxxp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Radek Zeman a Radek Klouda, v plné moci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''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" </w:t>
      </w:r>
    </w:p>
    <w:p>
      <w:pPr>
        <w:pStyle w:val="Normal"/>
        <w:spacing w:lineRule="auto" w:line="276" w:before="0" w:after="120"/>
        <w:ind w:left="3537" w:hanging="297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w:t>obchodní firma:</w:t>
        <w:tab/>
        <w:t>Základní škola, Ostrava-Poruba, J. Valčíka 4411, příspěvková organizace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Sídlo:</w:t>
        <w:tab/>
        <w:tab/>
        <w:tab/>
        <w:tab/>
      </w:r>
      <w:r>
        <w:rPr>
          <w:rFonts w:eastAsia="Calibri" w:cs="Calibri" w:ascii="Calibri" w:hAnsi="Calibri" w:asciiTheme="minorHAnsi" w:cstheme="minorHAnsi" w:hAnsiTheme="minorHAnsi"/>
        </w:rPr>
        <w:t>Josefa Valčíka 4411/2, 708 00 Ostrava-Poruba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IČ.</w:t>
        <w:tab/>
        <w:tab/>
        <w:tab/>
        <w:tab/>
        <w:t>64627918</w:t>
      </w:r>
      <w:r>
        <w:rPr>
          <w:rFonts w:cs="Calibri" w:ascii="Calibri" w:hAnsi="Calibri" w:asciiTheme="minorHAnsi" w:cstheme="minorHAnsi" w:hAnsiTheme="minorHAnsi"/>
        </w:rPr>
        <w:tab/>
        <w:tab/>
        <w:tab/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DIČ: </w:t>
        <w:tab/>
        <w:tab/>
        <w:tab/>
        <w:tab/>
        <w:t>CZ64627918 – neplátce DPH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Zapsaná v obchodním rejstříku:</w:t>
        <w:tab/>
      </w:r>
      <w:r>
        <w:rPr>
          <w:rFonts w:eastAsia="Calibri" w:cs="Calibri" w:ascii="Calibri" w:hAnsi="Calibri" w:asciiTheme="minorHAnsi" w:cstheme="minorHAnsi" w:hAnsiTheme="minorHAnsi"/>
        </w:rPr>
        <w:t>Krajský soud v Ostravě, oddíl Pr, vložka 636</w:t>
        <w:tab/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Bankovní spojení:</w:t>
        <w:tab/>
        <w:tab/>
        <w:tab/>
      </w:r>
      <w:r>
        <w:rPr>
          <w:rFonts w:cs="Calibri" w:ascii="Calibri" w:hAnsi="Calibri" w:asciiTheme="minorHAnsi" w:cstheme="minorHAnsi" w:hAnsiTheme="minorHAnsi"/>
        </w:rPr>
        <w:t>XXXXX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Číslo účtu:</w:t>
        <w:tab/>
        <w:tab/>
        <w:tab/>
        <w:tab/>
      </w:r>
      <w:r>
        <w:rPr>
          <w:rFonts w:cs="Calibri" w:ascii="Calibri" w:hAnsi="Calibri" w:asciiTheme="minorHAnsi" w:cstheme="minorHAnsi" w:hAnsiTheme="minorHAnsi"/>
        </w:rPr>
        <w:t>XXXXX</w:t>
      </w:r>
    </w:p>
    <w:p>
      <w:pPr>
        <w:pStyle w:val="Normal"/>
        <w:tabs>
          <w:tab w:val="clear" w:pos="708"/>
          <w:tab w:val="left" w:pos="3544" w:leader="none"/>
        </w:tabs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Číslo datové schránky:   </w:t>
        <w:tab/>
        <w:t>wsimqu4</w:t>
        <w:tab/>
      </w:r>
      <w:r>
        <w:rPr>
          <w:rFonts w:cs="Calibri" w:ascii="Calibri" w:hAnsi="Calibri" w:asciiTheme="minorHAnsi" w:cstheme="minorHAnsi" w:hAnsiTheme="minorHAnsi"/>
          <w:color w:val="FF0000"/>
        </w:rPr>
        <w:t xml:space="preserve">           </w:t>
      </w:r>
      <w:r>
        <w:rPr>
          <w:rFonts w:cs="Calibri" w:ascii="Calibri" w:hAnsi="Calibri" w:asciiTheme="minorHAnsi" w:cstheme="minorHAnsi" w:hAnsiTheme="minorHAnsi"/>
          <w:highlight w:val="yellow"/>
        </w:rPr>
        <w:t xml:space="preserve"> </w:t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Zastoupen/jednající:</w:t>
        <w:tab/>
        <w:tab/>
        <w:t>Mgr. Antonín Dohnal</w:t>
        <w:tab/>
        <w:tab/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SmlouvU o sdružených službách dodávky PLYNU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</w:rPr>
      </w:pPr>
      <w:r>
        <w:rPr>
          <w:rFonts w:cs="Calibri" w:ascii="Calibri" w:hAnsi="Calibri" w:asciiTheme="minorHAnsi" w:cstheme="minorHAnsi" w:hAnsiTheme="minorHAnsi"/>
          <w:b/>
          <w:caps/>
        </w:rPr>
        <w:t>(</w:t>
      </w:r>
      <w:r>
        <w:rPr>
          <w:rFonts w:cs="Calibri" w:ascii="Calibri" w:hAnsi="Calibri" w:asciiTheme="minorHAnsi" w:cstheme="minorHAnsi" w:hAnsiTheme="minorHAnsi"/>
          <w:b/>
        </w:rPr>
        <w:t>kategorie</w:t>
      </w:r>
      <w:r>
        <w:rPr>
          <w:rFonts w:cs="Calibri" w:ascii="Calibri" w:hAnsi="Calibri" w:asciiTheme="minorHAnsi" w:cstheme="minorHAnsi" w:hAnsiTheme="minorHAnsi"/>
          <w:b/>
          <w:caps/>
        </w:rPr>
        <w:t xml:space="preserve"> MALOODBĚRATEL </w:t>
      </w:r>
      <w:r>
        <w:rPr>
          <w:rFonts w:cs="Calibri" w:ascii="Calibri" w:hAnsi="Calibri" w:asciiTheme="minorHAnsi" w:cstheme="minorHAnsi" w:hAnsiTheme="minorHAnsi"/>
          <w:b/>
        </w:rPr>
        <w:t>do 630 MWh/rok</w:t>
      </w:r>
      <w:r>
        <w:rPr>
          <w:rFonts w:cs="Calibri" w:ascii="Calibri" w:hAnsi="Calibri" w:asciiTheme="minorHAnsi" w:cstheme="minorHAnsi" w:hAnsiTheme="minorHAnsi"/>
          <w:b/>
          <w:caps/>
        </w:rPr>
        <w:t>)</w:t>
      </w:r>
    </w:p>
    <w:p>
      <w:pPr>
        <w:pStyle w:val="Normal"/>
        <w:spacing w:lineRule="auto" w:line="276" w:before="0" w:after="120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Normal"/>
        <w:spacing w:lineRule="auto" w:line="276" w:before="0" w:after="120"/>
        <w:ind w:left="56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(dále jen "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>")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1.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ÚvodnÍ ustanovenÍ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Tato smlouva je smlouvou o sdružených službách dodávky plynu uzavřenou podle ustanoveni § 72 odst. 2 zákona č. 458/2000 Sb., o podmínkách podnikání a o výkonu statní správy v energetických odvětvích ("Energetický zákon"), ve znění pozdějších předpisů, a zákona č. 89/2012 Sb., občanský zákoník, ve znění pozdějších předpisů, v režimu přenesené odpovědnosti za odchylku na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Práva a povinnosti Smluvních stran jsou blíže specifikovány v obchodních podmínkách dodávky plynu, které jsou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Přílohou č. 1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Smlouvy a spolu se smlouvou tvoří nedílný celek (dále jen „OPD“).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2.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PŘedmĚt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Předmětem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je závazek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Obchodníka</w:t>
      </w:r>
      <w:r>
        <w:rPr>
          <w:rFonts w:eastAsia="Arial Unicode MS" w:cs="Calibri" w:ascii="Calibri" w:hAnsi="Calibri" w:asciiTheme="minorHAnsi" w:cstheme="minorHAnsi" w:hAnsiTheme="minorHAnsi"/>
        </w:rPr>
        <w:t xml:space="preserve"> poskytnout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sdružené služby dodávky plynu (dále jen „sdružené služby"), tzn. dodat sjednané množství plynu za podmínek sjednaných ve Smlouvě a převzít odpovědnost za odchylku (dále jen „dodávka plynu") a zajistit distribuci plynu (dále jen „distribuční služby") do OM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Zákazníka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odebrat sjednané množství plynu v OM podle podmínek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uhradit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řádně a včas dohodnutou platbu za dodávku plynu a za distribuční služby.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postupovat tak, aby po celou dobu trvání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neznemožnil ani neztížil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dodat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sjednané množství plynu do OM ve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Smlouvě</w:t>
      </w:r>
      <w:r>
        <w:rPr>
          <w:rFonts w:eastAsia="Arial Unicode MS" w:cs="Calibri" w:ascii="Calibri" w:hAnsi="Calibri" w:asciiTheme="minorHAnsi" w:cstheme="minorHAnsi" w:hAnsiTheme="minorHAnsi"/>
        </w:rPr>
        <w:t xml:space="preserve"> uvedeném.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Dodávka plynu a distribuční služby se uskutečňují z distribuční sítě příslušného provozovatele distribuční soustavy (dále jen "PDS") podle smluv o připojení, které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uzavřel s PDS prostřednictvím Obchodníka, v souladu s Pravidly provozováni distribuční soustavy (dále jen „PPDS") a „Podmínkami distribuce plynu, vydanými příslušným PDS.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sjednávají, že zánik některé ze smluv o připojení ani její změny uzavřené mezi Zákazníkem a PDS nemají vliv na platnost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3.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SPECIFIKACE ODBĚRNÝCH MÍST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76"/>
        <w:ind w:left="284" w:hanging="284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Specifikace odběrných míst, to je: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EIC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Název a adresa OM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1003" w:hanging="357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>Plánovaná roční spotřeba plynu v MWh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jsou uvedeny 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má příslušná majetkoprávní oprávnění k OM uvedeným v předchozím odstavci, a zavazuje se zajistit v souladu s platnou právní úpravou připojení OM specifikovaných v předchozím odstavci k distribuční soustavě příslušného PDS.</w:t>
      </w:r>
    </w:p>
    <w:p>
      <w:pPr>
        <w:pStyle w:val="ListParagraph"/>
        <w:numPr>
          <w:ilvl w:val="0"/>
          <w:numId w:val="5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prohlašuje, že veškeré údaje uvedené v seznamu odběrných míst, který tvoří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Přílohu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Smlouvy, </w:t>
      </w:r>
      <w:r>
        <w:rPr>
          <w:rFonts w:eastAsia="Arial Unicode MS" w:cs="Calibri" w:ascii="Calibri" w:hAnsi="Calibri" w:asciiTheme="minorHAnsi" w:cstheme="minorHAnsi" w:hAnsiTheme="minorHAnsi"/>
        </w:rPr>
        <w:t xml:space="preserve">odpovídají údajům o odběrném místě uvedeným ve smlouvě o připojení odběrného místa k distribuční soustavě.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neodpovídá za chyby ve vyúčtování, způsobené uvedeným nesprávných údajů o odběrném místě v 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</w:t>
      </w:r>
      <w:r>
        <w:rPr>
          <w:rFonts w:eastAsia="Arial Unicode MS" w:cs="Calibri" w:ascii="Calibri" w:hAnsi="Calibri" w:asciiTheme="minorHAnsi" w:cstheme="minorHAnsi" w:hAnsiTheme="minorHAnsi"/>
        </w:rPr>
        <w:t xml:space="preserve"> této </w:t>
      </w:r>
      <w:r>
        <w:rPr>
          <w:rFonts w:eastAsia="Arial Unicode MS" w:cs="Calibri" w:ascii="Calibri" w:hAnsi="Calibri" w:asciiTheme="minorHAnsi" w:cstheme="minorHAnsi" w:hAnsiTheme="minorHAnsi"/>
          <w:b/>
        </w:rPr>
        <w:t>Smlouvy</w:t>
      </w:r>
      <w:r>
        <w:rPr>
          <w:rFonts w:eastAsia="Arial Unicode MS" w:cs="Calibri" w:ascii="Calibri" w:hAnsi="Calibri" w:asciiTheme="minorHAnsi" w:cstheme="minorHAnsi" w:hAnsiTheme="minorHAnsi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Zákazníkem,</w:t>
      </w:r>
      <w:r>
        <w:rPr>
          <w:rFonts w:eastAsia="Arial Unicode MS" w:cs="Calibri" w:ascii="Calibri" w:hAnsi="Calibri" w:asciiTheme="minorHAnsi" w:cstheme="minorHAnsi" w:hAnsiTheme="minorHAnsi"/>
        </w:rPr>
        <w:t xml:space="preserve"> a </w:t>
      </w: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se zavazuje zaplatit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Obchodníkovi</w:t>
      </w:r>
      <w:r>
        <w:rPr>
          <w:rFonts w:eastAsia="Arial Unicode MS" w:cs="Calibri" w:ascii="Calibri" w:hAnsi="Calibri" w:asciiTheme="minorHAnsi" w:cstheme="minorHAnsi" w:hAnsiTheme="minorHAnsi"/>
        </w:rPr>
        <w:t xml:space="preserve"> cenu za sdružené služby dodávky plynu ve výši dle údajů ve smlouvě o připojení s příslušným PDS.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4.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ČASOVÁ A TECHNICKÁ SPECIFIKACE PLNĚNÍ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Období dodávky: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zahájení dodávky: </w:t>
      </w:r>
      <w:r>
        <w:rPr>
          <w:rFonts w:cs="Calibri" w:ascii="Calibri" w:hAnsi="Calibri" w:asciiTheme="minorHAnsi" w:cstheme="minorHAnsi" w:hAnsiTheme="minorHAnsi"/>
          <w:b/>
        </w:rPr>
        <w:t>1. 1. 2022 6:00 hod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Datum a obchodní hodina ukončení dodávky: </w:t>
      </w:r>
      <w:r>
        <w:rPr>
          <w:rFonts w:cs="Calibri" w:ascii="Calibri" w:hAnsi="Calibri" w:asciiTheme="minorHAnsi" w:cstheme="minorHAnsi" w:hAnsiTheme="minorHAnsi"/>
          <w:b/>
        </w:rPr>
        <w:t>1. 1. 2024 6:00 hod.</w:t>
      </w:r>
    </w:p>
    <w:p>
      <w:pPr>
        <w:pStyle w:val="ListParagraph"/>
        <w:spacing w:lineRule="auto" w:line="276" w:before="0" w:after="120"/>
        <w:ind w:left="284" w:hanging="0"/>
        <w:contextualSpacing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 případě, že u některých odběrných míst bude stanoveno odlišné období dodávky, je to uvedeno </w:t>
      </w:r>
      <w:r>
        <w:rPr>
          <w:rFonts w:eastAsia="Arial Unicode MS" w:cs="Calibri" w:ascii="Calibri" w:hAnsi="Calibri" w:asciiTheme="minorHAnsi" w:cstheme="minorHAnsi" w:hAnsiTheme="minorHAnsi"/>
        </w:rPr>
        <w:t xml:space="preserve">v </w:t>
      </w:r>
      <w:r>
        <w:rPr>
          <w:rFonts w:eastAsia="Arial Unicode MS" w:cs="Calibri" w:ascii="Calibri" w:hAnsi="Calibri" w:asciiTheme="minorHAnsi" w:cstheme="minorHAnsi" w:hAnsiTheme="minorHAnsi"/>
          <w:b/>
        </w:rPr>
        <w:t xml:space="preserve">Příloze č. 2 </w:t>
      </w:r>
      <w:r>
        <w:rPr>
          <w:rFonts w:eastAsia="Arial Unicode MS" w:cs="Calibri" w:ascii="Calibri" w:hAnsi="Calibri" w:asciiTheme="minorHAnsi" w:cstheme="minorHAnsi" w:hAnsiTheme="minorHAnsi"/>
        </w:rPr>
        <w:t>– seznam odběrných míst plynu</w:t>
      </w:r>
    </w:p>
    <w:p>
      <w:pPr>
        <w:pStyle w:val="ListParagraph"/>
        <w:numPr>
          <w:ilvl w:val="0"/>
          <w:numId w:val="4"/>
        </w:numPr>
        <w:spacing w:lineRule="auto" w:line="276" w:before="0" w:after="12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Odběrový diagram a způsob jeho sjednávání a upřesňování: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  <w:b/>
        </w:rPr>
        <w:t>Zákazník</w:t>
      </w:r>
      <w:r>
        <w:rPr>
          <w:rFonts w:eastAsia="Arial Unicode MS" w:cs="Calibri" w:ascii="Calibri" w:hAnsi="Calibri" w:asciiTheme="minorHAnsi" w:cstheme="minorHAnsi" w:hAnsiTheme="minorHAnsi"/>
        </w:rPr>
        <w:t xml:space="preserve"> sjednal s </w:t>
      </w:r>
      <w:r>
        <w:rPr>
          <w:rFonts w:eastAsia="Arial Unicode MS" w:cs="Calibri" w:ascii="Calibri" w:hAnsi="Calibri" w:asciiTheme="minorHAnsi" w:cstheme="minorHAnsi" w:hAnsiTheme="minorHAnsi"/>
          <w:b/>
        </w:rPr>
        <w:t>Obchodníkem</w:t>
      </w:r>
      <w:r>
        <w:rPr>
          <w:rFonts w:eastAsia="Arial Unicode MS" w:cs="Calibri" w:ascii="Calibri" w:hAnsi="Calibri" w:asciiTheme="minorHAnsi" w:cstheme="minorHAnsi" w:hAnsiTheme="minorHAnsi"/>
        </w:rPr>
        <w:t xml:space="preserve"> množství plynu pro všechna odběrná místa na období trvání dodávky ve výši </w:t>
      </w:r>
      <w:r>
        <w:rPr>
          <w:rFonts w:eastAsia="Arial Unicode MS" w:cs="Calibri" w:ascii="Calibri" w:hAnsi="Calibri" w:asciiTheme="minorHAnsi" w:cstheme="minorHAnsi" w:hAnsiTheme="minorHAnsi"/>
          <w:b/>
          <w:bCs/>
        </w:rPr>
        <w:t>20</w:t>
      </w:r>
      <w:r>
        <w:rPr>
          <w:rFonts w:eastAsia="Arial Unicode MS" w:cs="Calibri" w:ascii="Calibri" w:hAnsi="Calibri" w:asciiTheme="minorHAnsi" w:cstheme="minorHAnsi" w:hAnsiTheme="minorHAnsi"/>
          <w:b/>
          <w:bCs/>
          <w:color w:val="FF0000"/>
        </w:rPr>
        <w:t xml:space="preserve"> </w:t>
      </w:r>
      <w:r>
        <w:rPr>
          <w:rFonts w:eastAsia="Arial Unicode MS" w:cs="Calibri" w:ascii="Calibri" w:hAnsi="Calibri" w:asciiTheme="minorHAnsi" w:cstheme="minorHAnsi" w:hAnsiTheme="minorHAnsi"/>
          <w:b/>
        </w:rPr>
        <w:t>MWh</w:t>
      </w:r>
      <w:r>
        <w:rPr>
          <w:rFonts w:eastAsia="Arial Unicode MS"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276" w:before="0" w:after="120"/>
        <w:ind w:left="284" w:hanging="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ascii="Calibri" w:hAnsi="Calibri" w:asciiTheme="minorHAnsi" w:cstheme="minorHAnsi" w:hAnsiTheme="minorHAnsi"/>
        </w:rPr>
        <w:t xml:space="preserve">Případné nedočerpání nebo překročení plánovaného ročního odběru plynu v jednotlivých odběrných místech uvedených v </w:t>
      </w:r>
      <w:r>
        <w:rPr>
          <w:rFonts w:eastAsia="Arial Unicode MS" w:cs="Calibri" w:ascii="Calibri" w:hAnsi="Calibri" w:asciiTheme="minorHAnsi" w:cstheme="minorHAnsi" w:hAnsiTheme="minorHAnsi"/>
          <w:b/>
        </w:rPr>
        <w:t>Příloze č. 2.</w:t>
      </w:r>
      <w:r>
        <w:rPr>
          <w:rFonts w:eastAsia="Arial Unicode MS" w:cs="Calibri" w:ascii="Calibri" w:hAnsi="Calibri" w:asciiTheme="minorHAnsi" w:cstheme="minorHAnsi" w:hAnsiTheme="minorHAnsi"/>
        </w:rPr>
        <w:t xml:space="preserve"> nebude ze strany Obchodníka podléhat žádným cenovým přirážkám či jiným sankcím.  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5.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Cena a platební podmínky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Cena za dodávku plynu bez daně z plynu a bez DPH je smluvní a sjednává se pro celou dobu trvání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y dle čl. 6.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Smlouvy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následovně:</w:t>
      </w:r>
    </w:p>
    <w:tbl>
      <w:tblPr>
        <w:tblStyle w:val="Mkatabulky"/>
        <w:tblW w:w="47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0"/>
        <w:gridCol w:w="2179"/>
        <w:gridCol w:w="1800"/>
        <w:gridCol w:w="1945"/>
      </w:tblGrid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kern w:val="0"/>
                <w:szCs w:val="22"/>
                <w:lang w:val="cs-CZ" w:bidi="ar-SA"/>
              </w:rPr>
            </w:r>
          </w:p>
        </w:tc>
        <w:tc>
          <w:tcPr>
            <w:tcW w:w="3979" w:type="dxa"/>
            <w:gridSpan w:val="2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Jednotková cena</w:t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Platnost</w:t>
            </w:r>
          </w:p>
        </w:tc>
      </w:tr>
      <w:tr>
        <w:trPr>
          <w:trHeight w:val="563" w:hRule="atLeast"/>
        </w:trPr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komoditu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bidi="ar-SA"/>
              </w:rPr>
              <w:t>580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Kč/MWh</w:t>
            </w:r>
          </w:p>
        </w:tc>
        <w:tc>
          <w:tcPr>
            <w:tcW w:w="1945" w:type="dxa"/>
            <w:vMerge w:val="restart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po celé období dodávky</w:t>
            </w:r>
          </w:p>
        </w:tc>
      </w:tr>
      <w:tr>
        <w:trPr/>
        <w:tc>
          <w:tcPr>
            <w:tcW w:w="26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Cena za stálý měsíční plat za 1 odběrné místo</w:t>
            </w:r>
          </w:p>
        </w:tc>
        <w:tc>
          <w:tcPr>
            <w:tcW w:w="2179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GB" w:bidi="ar-SA"/>
              </w:rPr>
              <w:t>0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Cs w:val="22"/>
                <w:lang w:val="cs-CZ" w:bidi="ar-SA"/>
              </w:rPr>
              <w:t>Kč/měsíc/1 OM</w:t>
            </w:r>
          </w:p>
        </w:tc>
        <w:tc>
          <w:tcPr>
            <w:tcW w:w="1945" w:type="dxa"/>
            <w:vMerge w:val="continue"/>
            <w:tcBorders/>
            <w:vAlign w:val="center"/>
          </w:tcPr>
          <w:p>
            <w:pPr>
              <w:pStyle w:val="ListParagraph2"/>
              <w:widowControl w:val="false"/>
              <w:tabs>
                <w:tab w:val="clear" w:pos="708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uppressAutoHyphens w:val="true"/>
              <w:spacing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auto"/>
                <w:kern w:val="0"/>
                <w:szCs w:val="22"/>
                <w:lang w:val="cs-CZ" w:bidi="ar-SA"/>
              </w:rPr>
            </w:r>
          </w:p>
        </w:tc>
      </w:tr>
    </w:tbl>
    <w:p>
      <w:pPr>
        <w:pStyle w:val="ListParagraph2"/>
        <w:tabs>
          <w:tab w:val="clear" w:pos="708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Cena zahrnuje veškeré neregulované složky ceny, to je: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a) komoditní složky ceny v Kč/MWh,</w:t>
      </w:r>
    </w:p>
    <w:p>
      <w:pPr>
        <w:pStyle w:val="Pa3"/>
        <w:spacing w:lineRule="auto" w:line="276"/>
        <w:ind w:left="680" w:hanging="254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 xml:space="preserve">b) kapacitní složky ceny Kč/tis. m³ </w:t>
      </w:r>
    </w:p>
    <w:p>
      <w:pPr>
        <w:pStyle w:val="Pa3"/>
        <w:spacing w:lineRule="auto" w:line="276" w:before="0" w:after="120"/>
        <w:ind w:left="680" w:hanging="255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c) stálý měsíční pla</w:t>
        <w:softHyphen/>
        <w:t>t v Kč/měsíc/1 odběrné místo.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Cena za distribuci plynu bude stanovena podle platného Cenového rozhodnutí Energetického regulačního úřadu.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K účtované ceně se připočítává daň z plynu a daň z přidané hodnoty stanovené platnými právními předpisy.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Platební podmínky jsou uvedeny v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Příloze č. 1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- Obchodní podmínky dodávky plynu.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color w:val="auto"/>
          <w:sz w:val="20"/>
        </w:rPr>
        <w:t>Z důvodu provozních potřeb může být v průběhu trvání smlouvy měněn počet OM Zákazníka, a to jak zrušením OM uvedených v této Smlouvě, tak zřízením nových OM, v této Smlouvě neuvedených</w:t>
      </w:r>
      <w:bookmarkStart w:id="0" w:name="_Hlk481084815"/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, </w:t>
      </w:r>
      <w:bookmarkEnd w:id="0"/>
      <w:r>
        <w:rPr>
          <w:rFonts w:cs="Calibri" w:ascii="Calibri" w:hAnsi="Calibri" w:asciiTheme="minorHAnsi" w:cstheme="minorHAnsi" w:hAnsi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>
      <w:pPr>
        <w:pStyle w:val="ListParagraph2"/>
        <w:numPr>
          <w:ilvl w:val="0"/>
          <w:numId w:val="6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ind w:left="426" w:hanging="426"/>
        <w:jc w:val="both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Obchodník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 xml:space="preserve"> je povinen uvádět na fakturách číslo smlouvy </w:t>
      </w:r>
      <w:r>
        <w:rPr>
          <w:rFonts w:cs="Calibri" w:ascii="Calibri" w:hAnsi="Calibri" w:asciiTheme="minorHAnsi" w:cstheme="minorHAnsi" w:hAnsiTheme="minorHAnsi"/>
          <w:b/>
          <w:color w:val="auto"/>
          <w:sz w:val="20"/>
        </w:rPr>
        <w:t>Zákazníka</w:t>
      </w:r>
      <w:r>
        <w:rPr>
          <w:rFonts w:cs="Calibri" w:ascii="Calibri" w:hAnsi="Calibri" w:asciiTheme="minorHAnsi" w:cstheme="minorHAnsi" w:hAnsiTheme="minorHAnsi"/>
          <w:color w:val="auto"/>
          <w:sz w:val="20"/>
        </w:rPr>
        <w:t>.</w:t>
      </w:r>
    </w:p>
    <w:p>
      <w:pPr>
        <w:pStyle w:val="Normal"/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6.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PLATNOST A ÚČINNOST SMLOUVY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uzavírá na dobu určitou od </w:t>
      </w:r>
      <w:r>
        <w:rPr>
          <w:rFonts w:cs="Calibri" w:ascii="Calibri" w:hAnsi="Calibri" w:asciiTheme="minorHAnsi" w:cstheme="minorHAnsi" w:hAnsiTheme="minorHAnsi"/>
          <w:b/>
        </w:rPr>
        <w:t xml:space="preserve">1.1.2022 </w:t>
      </w:r>
      <w:r>
        <w:rPr>
          <w:rFonts w:cs="Calibri" w:ascii="Calibri" w:hAnsi="Calibri" w:asciiTheme="minorHAnsi" w:cstheme="minorHAnsi" w:hAnsiTheme="minorHAnsi"/>
        </w:rPr>
        <w:t xml:space="preserve">06:00 hod. do </w:t>
      </w:r>
      <w:r>
        <w:rPr>
          <w:rFonts w:cs="Calibri" w:ascii="Calibri" w:hAnsi="Calibri" w:asciiTheme="minorHAnsi" w:cstheme="minorHAnsi" w:hAnsiTheme="minorHAnsi"/>
          <w:b/>
        </w:rPr>
        <w:t>1. 1. 2024</w:t>
      </w:r>
      <w:r>
        <w:rPr>
          <w:rFonts w:cs="Calibri" w:ascii="Calibri" w:hAnsi="Calibri" w:asciiTheme="minorHAnsi" w:cstheme="minorHAnsi" w:hAnsiTheme="minorHAnsi"/>
        </w:rPr>
        <w:t xml:space="preserve"> 06:00 hod.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425" w:hanging="56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 xml:space="preserve">Smlouva </w:t>
      </w:r>
      <w:r>
        <w:rPr>
          <w:rFonts w:cs="Calibri" w:ascii="Calibri" w:hAnsi="Calibri" w:asciiTheme="minorHAnsi" w:cstheme="minorHAnsi" w:hAnsiTheme="minorHAnsi"/>
        </w:rPr>
        <w:t xml:space="preserve">nabývá platnosti dnem uzavření. Účinnost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nabývá jejím uveřejněním v registru smluv.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48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Čl. 7.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caps/>
          <w:sz w:val="24"/>
          <w:szCs w:val="24"/>
        </w:rPr>
        <w:t>SPOLEČNÁ A ZÁVĚREČNÁ USTANOVENÍ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caps/>
          <w:sz w:val="24"/>
          <w:szCs w:val="24"/>
        </w:rPr>
      </w:pPr>
      <w:r>
        <w:rPr>
          <w:rFonts w:cs="Calibri" w:cstheme="minorHAnsi" w:ascii="Calibri" w:hAnsi="Calibri"/>
          <w:b/>
          <w:caps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podpisem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potvrzuje, že převzal OPD, které tvoří </w:t>
      </w:r>
      <w:r>
        <w:rPr>
          <w:rFonts w:cs="Calibri" w:ascii="Calibri" w:hAnsi="Calibri" w:asciiTheme="minorHAnsi" w:cstheme="minorHAnsi" w:hAnsiTheme="minorHAnsi"/>
          <w:b/>
        </w:rPr>
        <w:t>Přílohu č. 1</w:t>
      </w:r>
      <w:r>
        <w:rPr>
          <w:rFonts w:cs="Calibri" w:ascii="Calibri" w:hAnsi="Calibri" w:asciiTheme="minorHAnsi" w:cstheme="minorHAnsi" w:hAnsiTheme="minorHAnsi"/>
        </w:rPr>
        <w:t xml:space="preserve">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určují kontaktní osoby oprávněné k jednání k naplnění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dalším úkonům, včetně přijetí změn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také určují doručovací adresy pro vzájemnou komunikaci. Tyto osoby a adresy jsou uvedeny v </w:t>
      </w:r>
      <w:r>
        <w:rPr>
          <w:rFonts w:cs="Calibri" w:ascii="Calibri" w:hAnsi="Calibri" w:asciiTheme="minorHAnsi" w:cstheme="minorHAnsi" w:hAnsiTheme="minorHAnsi"/>
          <w:b/>
        </w:rPr>
        <w:t>Příloze č. 3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 případy převodu nebo zřízení nových OM v průběhu dodávky udělí </w:t>
      </w:r>
      <w:r>
        <w:rPr>
          <w:rFonts w:cs="Calibri" w:ascii="Calibri" w:hAnsi="Calibri" w:asciiTheme="minorHAnsi" w:cstheme="minorHAnsi" w:hAnsiTheme="minorHAnsi"/>
          <w:b/>
        </w:rPr>
        <w:t>Zákazník Obchodníkovi</w:t>
      </w:r>
      <w:r>
        <w:rPr>
          <w:rFonts w:cs="Calibri" w:ascii="Calibri" w:hAnsi="Calibri" w:asciiTheme="minorHAnsi" w:cstheme="minorHAnsi" w:hAnsiTheme="minorHAnsi"/>
        </w:rPr>
        <w:t xml:space="preserve"> plnou moc k zajištění potřebných kroků vedoucích k naplnění těchto záměrů.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budou považována za právně neplatná a neúčinná. 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Pokud by jakýkoliv závazek (povinnost)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oddělitelný od ostatního obsahu</w:t>
      </w:r>
      <w:r>
        <w:rPr>
          <w:rFonts w:cs="Calibri" w:ascii="Calibri" w:hAnsi="Calibri" w:asciiTheme="minorHAnsi" w:cstheme="minorHAnsi" w:hAnsiTheme="minorHAnsi"/>
        </w:rPr>
        <w:t xml:space="preserve"> byl nebo by se stal neplatným nebo nevymahatelným, nebude to mít vliv na platnost a vymahatelnost ostatních závazků (povinností) podle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neobsahovala nějaké ustanovení, které by bylo jinak pro vymezení práv a povinností odůvodněné, Smluvní strany se zavazují takové ustanovení do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doplnit; ostatní ustanovení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zůstávají beze změny.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Tato </w:t>
      </w:r>
      <w:r>
        <w:rPr>
          <w:rFonts w:cs="Calibri" w:ascii="Calibri" w:hAnsi="Calibri" w:asciiTheme="minorHAnsi" w:cstheme="minorHAnsi" w:hAnsiTheme="minorHAnsi"/>
          <w:b/>
        </w:rPr>
        <w:t>Smlouva</w:t>
      </w:r>
      <w:r>
        <w:rPr>
          <w:rFonts w:cs="Calibri" w:ascii="Calibri" w:hAnsi="Calibri" w:asciiTheme="minorHAnsi" w:cstheme="minorHAnsi" w:hAnsiTheme="minorHAnsi"/>
        </w:rPr>
        <w:t xml:space="preserve"> se řídí právem České republiky; není-li v této </w:t>
      </w:r>
      <w:r>
        <w:rPr>
          <w:rFonts w:cs="Calibri" w:ascii="Calibri" w:hAnsi="Calibri" w:asciiTheme="minorHAnsi" w:cstheme="minorHAnsi" w:hAnsiTheme="minorHAnsi"/>
          <w:b/>
        </w:rPr>
        <w:t>Smlouv</w:t>
      </w:r>
      <w:r>
        <w:rPr>
          <w:rFonts w:cs="Calibri" w:ascii="Calibri" w:hAnsi="Calibri" w:asciiTheme="minorHAnsi" w:cstheme="minorHAnsi" w:hAnsiTheme="minorHAnsi"/>
        </w:rPr>
        <w:t>ě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Při zániku jedné nebo druhé Smluvní strany, přecházejí smluvní závazky z této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na právního nástupce zanikající Smluvní strany.</w:t>
      </w:r>
    </w:p>
    <w:p>
      <w:pPr>
        <w:pStyle w:val="ListParagraph"/>
        <w:numPr>
          <w:ilvl w:val="0"/>
          <w:numId w:val="7"/>
        </w:numPr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Tato smlouva je uzavřena v elektronické podobě.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Smluvní strany prohlašují, že k této </w:t>
      </w:r>
      <w:r>
        <w:rPr>
          <w:rFonts w:cs="Calibri" w:ascii="Calibri" w:hAnsi="Calibri" w:asciiTheme="minorHAnsi" w:cstheme="minorHAnsi" w:hAnsiTheme="minorHAnsi"/>
          <w:b/>
        </w:rPr>
        <w:t>Smlouvě</w:t>
      </w:r>
      <w:r>
        <w:rPr>
          <w:rFonts w:cs="Calibri" w:ascii="Calibri" w:hAnsi="Calibri" w:asciiTheme="minorHAnsi" w:cstheme="minorHAnsi" w:hAnsi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je oprávněn zveřejnit,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odebírá plyn od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. Tuto informaci je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ve správné podobě.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bere dále na vědomí, že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 je povinen za podmínek stanovených v zákoně č. 340/2015 Sb., o registru smluv, ve znění pozdějších předpisů, tuto </w:t>
      </w:r>
      <w:r>
        <w:rPr>
          <w:rFonts w:cs="Calibri" w:ascii="Calibri" w:hAnsi="Calibri" w:asciiTheme="minorHAnsi" w:cstheme="minorHAnsi" w:hAnsiTheme="minorHAnsi"/>
          <w:b/>
        </w:rPr>
        <w:t>Smlouvu</w:t>
      </w:r>
      <w:r>
        <w:rPr>
          <w:rFonts w:cs="Calibri" w:ascii="Calibri" w:hAnsi="Calibri" w:asciiTheme="minorHAnsi" w:cstheme="minorHAnsi" w:hAnsiTheme="minorHAnsi"/>
        </w:rPr>
        <w:t xml:space="preserve">, včetně všech jejích příloh zveřejnit na portálu veřejné správy v registru smluv. </w:t>
      </w:r>
      <w:r>
        <w:rPr>
          <w:rFonts w:cs="Calibri" w:ascii="Calibri" w:hAnsi="Calibri" w:asciiTheme="minorHAnsi" w:cstheme="minorHAnsi" w:hAnsiTheme="minorHAnsi"/>
          <w:b/>
        </w:rPr>
        <w:t>Obchodník</w:t>
      </w:r>
      <w:r>
        <w:rPr>
          <w:rFonts w:cs="Calibri" w:ascii="Calibri" w:hAnsi="Calibri" w:asciiTheme="minorHAnsi" w:cstheme="minorHAnsi" w:hAnsiTheme="minorHAnsi"/>
        </w:rPr>
        <w:t xml:space="preserve"> souhlasí se zveřejněním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zajistí </w:t>
      </w:r>
      <w:r>
        <w:rPr>
          <w:rFonts w:cs="Calibri" w:ascii="Calibri" w:hAnsi="Calibri" w:asciiTheme="minorHAnsi" w:cstheme="minorHAnsi" w:hAnsiTheme="minorHAnsi"/>
          <w:b/>
        </w:rPr>
        <w:t>Zákazník</w:t>
      </w:r>
      <w:r>
        <w:rPr>
          <w:rFonts w:cs="Calibri" w:ascii="Calibri" w:hAnsi="Calibri" w:asciiTheme="minorHAnsi" w:cstheme="minorHAnsi" w:hAnsiTheme="minorHAnsi"/>
        </w:rPr>
        <w:t xml:space="preserve">, přičemž se o tom zavazuje neprodleně informovat </w:t>
      </w:r>
      <w:r>
        <w:rPr>
          <w:rFonts w:cs="Calibri" w:ascii="Calibri" w:hAnsi="Calibri" w:asciiTheme="minorHAnsi" w:cstheme="minorHAnsi" w:hAnsiTheme="minorHAnsi"/>
          <w:b/>
        </w:rPr>
        <w:t>Obchodníka</w:t>
      </w:r>
      <w:r>
        <w:rPr>
          <w:rFonts w:cs="Calibri" w:ascii="Calibri" w:hAnsi="Calibri" w:asciiTheme="minorHAnsi" w:cstheme="minorHAnsi" w:hAnsiTheme="minorHAnsi"/>
        </w:rPr>
        <w:t xml:space="preserve"> na e-mailovou adresu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</w:rPr>
          <w:t>jakub.duchon@alpiq.com</w:t>
        </w:r>
      </w:hyperlink>
      <w:r>
        <w:rPr>
          <w:rFonts w:cs="Calibri" w:ascii="Calibri" w:hAnsi="Calibri" w:asciiTheme="minorHAnsi" w:cstheme="minorHAnsi" w:hAnsiTheme="minorHAnsi"/>
          <w:highlight w:val="yellow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nebo do jeho datové schránky. Data uvedená v registračním listu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dle čl. X. odst. 8 OPD nejsou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při zveřejňování </w:t>
      </w:r>
      <w:r>
        <w:rPr>
          <w:rFonts w:cs="Calibri" w:ascii="Calibri" w:hAnsi="Calibri" w:asciiTheme="minorHAnsi" w:cstheme="minorHAnsi" w:hAnsiTheme="minorHAnsi"/>
          <w:b/>
        </w:rPr>
        <w:t>Smlouvy</w:t>
      </w:r>
      <w:r>
        <w:rPr>
          <w:rFonts w:cs="Calibri" w:ascii="Calibri" w:hAnsi="Calibri" w:asciiTheme="minorHAnsi" w:cstheme="minorHAnsi" w:hAnsiTheme="minorHAnsi"/>
        </w:rPr>
        <w:t xml:space="preserve"> závazná.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Obchodník bude poskytovat Magistrátu města Ostravy na e-mail: </w:t>
      </w:r>
      <w:hyperlink r:id="rId3">
        <w:r>
          <w:rPr>
            <w:rStyle w:val="Internetovodkaz"/>
            <w:rFonts w:cs="Calibri" w:ascii="Calibri" w:hAnsi="Calibri" w:asciiTheme="minorHAnsi" w:cstheme="minorHAnsi" w:hAnsiTheme="minorHAnsi"/>
          </w:rPr>
          <w:t>ssn@tendersystems.cz</w:t>
        </w:r>
      </w:hyperlink>
      <w:r>
        <w:rPr>
          <w:rFonts w:cs="Calibri" w:ascii="Calibri" w:hAnsi="Calibri" w:asciiTheme="minorHAnsi" w:cstheme="minorHAnsi" w:hAnsiTheme="minorHAnsi"/>
        </w:rPr>
        <w:t>, popřípadě Zákazníkovi na základě jeho písemného požadavku, soubor dat v elektronické podobě ve strojově čitelném formátu, obsahující kompletní údaje o realizované dodávce zemního plynu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8. OPD. 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>
      <w:pPr>
        <w:pStyle w:val="NormalWeb"/>
        <w:numPr>
          <w:ilvl w:val="0"/>
          <w:numId w:val="7"/>
        </w:numPr>
        <w:spacing w:beforeAutospacing="0" w:before="280" w:afterAutospacing="0" w:after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rPr/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120"/>
        <w:ind w:left="426" w:hanging="426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Doložka platnosti právního jednání dle ust. § 41 zákona č. 128/2000 Sb., o obcích (obecní zřízení), ve znění pozdějších předpisů – údaje budou doplněny </w:t>
      </w:r>
      <w:r>
        <w:rPr>
          <w:rFonts w:cs="Calibri" w:ascii="Calibri" w:hAnsi="Calibri" w:asciiTheme="minorHAnsi" w:cstheme="minorHAnsi" w:hAnsiTheme="minorHAnsi"/>
          <w:b/>
        </w:rPr>
        <w:t>Zákazníkem</w:t>
      </w:r>
      <w:r>
        <w:rPr>
          <w:rFonts w:cs="Calibri" w:ascii="Calibri" w:hAnsi="Calibri" w:asciiTheme="minorHAnsi" w:cstheme="minorHAnsi" w:hAnsiTheme="minorHAnsi"/>
        </w:rPr>
        <w:t xml:space="preserve"> pouze v případě, jsou-li pro </w:t>
      </w:r>
      <w:r>
        <w:rPr>
          <w:rFonts w:cs="Calibri" w:ascii="Calibri" w:hAnsi="Calibri" w:asciiTheme="minorHAnsi" w:cstheme="minorHAnsi" w:hAnsiTheme="minorHAnsi"/>
          <w:b/>
        </w:rPr>
        <w:t>Zákazníka</w:t>
      </w:r>
      <w:r>
        <w:rPr>
          <w:rFonts w:cs="Calibri" w:ascii="Calibri" w:hAnsi="Calibri" w:asciiTheme="minorHAnsi" w:cstheme="minorHAnsi" w:hAnsiTheme="minorHAnsi"/>
        </w:rPr>
        <w:t xml:space="preserve"> relevantní, v opačném případě zůstanou údaje nevyplněny: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</w:rPr>
        <w:t xml:space="preserve">O uzavření této smlouvy rozhodla rada města usnesením č. ____/RM___/___ ze dne __. __. 2021, kterým bylo rozhodnuto o výběru dodavatele a uzavření smlouvy k veřejné zakázce </w:t>
      </w:r>
      <w:r>
        <w:rPr>
          <w:rFonts w:cs="Calibri" w:ascii="Calibri" w:hAnsi="Calibri" w:asciiTheme="minorHAnsi" w:cstheme="minorHAnsi" w:hAnsiTheme="minorHAnsi"/>
          <w:i/>
        </w:rPr>
        <w:t>„Dodávky zemního plynu pro statutární město Ostrava a městské organizace na roky 2022 - 2023“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0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Smlouva obsahuje následující přílohy: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1. – </w:t>
      </w:r>
      <w:r>
        <w:rPr>
          <w:rFonts w:cs="Calibri" w:ascii="Calibri" w:hAnsi="Calibri" w:asciiTheme="minorHAnsi" w:cstheme="minorHAnsi" w:hAnsiTheme="minorHAnsi"/>
        </w:rPr>
        <w:t xml:space="preserve">Obchodní podmínky dodávky 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Příloha č. 2.</w:t>
      </w:r>
      <w:r>
        <w:rPr>
          <w:rFonts w:cs="Calibri" w:ascii="Calibri" w:hAnsi="Calibri" w:asciiTheme="minorHAnsi" w:cstheme="minorHAnsi" w:hAnsiTheme="minorHAnsi"/>
        </w:rPr>
        <w:t xml:space="preserve"> – Seznam odběrných míst plynu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Příloha č. 3. </w:t>
      </w:r>
      <w:r>
        <w:rPr>
          <w:rFonts w:cs="Calibri" w:ascii="Calibri" w:hAnsi="Calibri" w:asciiTheme="minorHAnsi" w:cstheme="minorHAnsi" w:hAnsiTheme="minorHAnsi"/>
        </w:rPr>
        <w:t>– Kontakty a kontaktní osoby oprávněné k jednání pro naplnění Smlouvy</w:t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it-IT"/>
        </w:rPr>
        <w:t>V Praze</w:t>
      </w:r>
      <w:r>
        <w:rPr>
          <w:rFonts w:cs="Calibri" w:ascii="Calibri" w:hAnsi="Calibri" w:asciiTheme="minorHAnsi" w:cstheme="minorHAnsi" w:hAnsiTheme="minorHAnsi"/>
        </w:rPr>
        <w:t>, dne: ………………………</w:t>
        <w:tab/>
        <w:tab/>
        <w:tab/>
        <w:tab/>
        <w:t xml:space="preserve">V Ostravě, dne: </w:t>
      </w:r>
      <w:r>
        <w:rPr>
          <w:rFonts w:eastAsia="Calibri" w:cs="Calibri" w:ascii="Calibri" w:hAnsi="Calibri" w:asciiTheme="minorHAnsi" w:cstheme="minorHAnsi" w:hAnsiTheme="minorHAnsi"/>
        </w:rPr>
        <w:t>19.10.2021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</w:t>
        <w:tab/>
        <w:tab/>
        <w:tab/>
        <w:t>.................................................</w:t>
      </w:r>
    </w:p>
    <w:p>
      <w:pPr>
        <w:pStyle w:val="ListParagraph"/>
        <w:spacing w:lineRule="auto" w:line="276" w:before="0" w:after="120"/>
        <w:ind w:left="4956" w:hanging="453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Radek Zeman, v plné moci</w:t>
        <w:tab/>
        <w:t>Mgr. Antonín Dohnal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>Obchodník</w:t>
        <w:tab/>
        <w:tab/>
        <w:tab/>
        <w:tab/>
        <w:tab/>
        <w:tab/>
        <w:t>Zákazník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„ </w:t>
      </w:r>
      <w:r>
        <w:rPr>
          <w:rFonts w:cs="Calibri" w:ascii="Calibri" w:hAnsi="Calibri" w:asciiTheme="minorHAnsi" w:cstheme="minorHAnsi" w:hAnsiTheme="minorHAnsi"/>
        </w:rPr>
        <w:t>podepsáno elektronicky“</w:t>
        <w:tab/>
        <w:tab/>
        <w:tab/>
        <w:tab/>
        <w:tab/>
        <w:t>„ podepsáno elektronicky“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</w:t>
        <w:tab/>
        <w:tab/>
        <w:tab/>
      </w:r>
    </w:p>
    <w:p>
      <w:pPr>
        <w:pStyle w:val="ListParagraph"/>
        <w:spacing w:lineRule="auto" w:line="276" w:before="0" w:after="120"/>
        <w:ind w:left="4956" w:hanging="453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Radek Klouda, v plné moci</w:t>
      </w:r>
    </w:p>
    <w:p>
      <w:p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</w:rPr>
        <w:t>Obchodník</w:t>
        <w:tab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1418" w:header="709" w:top="1667" w:footer="709" w:bottom="1418" w:gutter="0"/>
          <w:pgNumType w:fmt="decimal"/>
          <w:formProt w:val="false"/>
          <w:textDirection w:val="lrTb"/>
          <w:docGrid w:type="default" w:linePitch="360" w:charSpace="16384"/>
        </w:sectPr>
        <w:pStyle w:val="ListParagraph"/>
        <w:spacing w:lineRule="auto" w:line="276" w:before="0" w:after="120"/>
        <w:ind w:left="426" w:hanging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„ </w:t>
      </w:r>
      <w:r>
        <w:rPr>
          <w:rFonts w:cs="Calibri" w:ascii="Calibri" w:hAnsi="Calibri" w:asciiTheme="minorHAnsi" w:cstheme="minorHAnsi" w:hAnsiTheme="minorHAnsi"/>
        </w:rPr>
        <w:t>podepsáno elektronicky“</w:t>
        <w:tab/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>Příloha č. 3</w:t>
      </w:r>
    </w:p>
    <w:p>
      <w:pPr>
        <w:pStyle w:val="Normal"/>
        <w:spacing w:lineRule="auto" w:line="276" w:before="0" w:after="120"/>
        <w:ind w:left="284" w:hanging="0"/>
        <w:jc w:val="center"/>
        <w:rPr>
          <w:rFonts w:ascii="Calibri" w:hAnsi="Calibri" w:eastAsia="Arial Unicode MS" w:cs="Calibri" w:asciiTheme="minorHAnsi" w:cstheme="minorHAnsi" w:hAnsiTheme="minorHAnsi"/>
          <w:b/>
          <w:b/>
          <w:sz w:val="32"/>
          <w:szCs w:val="32"/>
        </w:rPr>
      </w:pPr>
      <w:r>
        <w:rPr>
          <w:rFonts w:eastAsia="Arial Unicode MS" w:cs="Calibri" w:ascii="Calibri" w:hAnsi="Calibri" w:asciiTheme="minorHAnsi" w:cstheme="minorHAnsi" w:hAnsiTheme="minorHAnsi"/>
          <w:b/>
          <w:sz w:val="32"/>
          <w:szCs w:val="32"/>
        </w:rPr>
        <w:t xml:space="preserve">Kontakty a kontaktní osoby oprávněné k jednání pro naplnění Smlouvy </w:t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Obchodníka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ind w:left="36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lang w:val="en-GB"/>
              </w:rPr>
              <w:t>Jakub Duchoň</w:t>
            </w:r>
            <w:r>
              <w:rPr>
                <w:rFonts w:cs="Calibri" w:ascii="Calibri" w:hAnsi="Calibri" w:asciiTheme="minorHAnsi" w:cstheme="minorHAnsi" w:hAnsi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lang w:val="en-GB"/>
              </w:rPr>
              <w:t>Zdeněk Miroš</w:t>
            </w:r>
            <w:r>
              <w:rPr>
                <w:rFonts w:cs="Calibri" w:ascii="Calibri" w:hAnsi="Calibri" w:asciiTheme="minorHAnsi" w:cstheme="minorHAnsi" w:hAnsi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Kontakt pro hlášení samoodečtů: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lang w:val="en-GB"/>
              </w:rPr>
              <w:t>Andrea Zezuláková</w:t>
            </w:r>
            <w:r>
              <w:rPr>
                <w:rFonts w:cs="Calibri" w:ascii="Calibri" w:hAnsi="Calibri" w:asciiTheme="minorHAnsi" w:cstheme="minorHAnsi" w:hAnsiTheme="minorHAnsi"/>
                <w:highlight w:val="yellow"/>
                <w:lang w:val="en-GB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Kontaktní osoby za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Zákazníka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:</w:t>
      </w:r>
    </w:p>
    <w:p>
      <w:pPr>
        <w:pStyle w:val="BodyText2"/>
        <w:spacing w:lineRule="auto" w:line="276" w:before="0" w:after="0"/>
        <w:rPr>
          <w:rFonts w:ascii="Calibri" w:hAnsi="Calibri" w:cs="Calibri" w:asciiTheme="minorHAnsi" w:cstheme="minorHAnsi" w:hAnsiTheme="minorHAnsi"/>
          <w:sz w:val="18"/>
          <w:szCs w:val="14"/>
          <w:highlight w:val="cyan"/>
        </w:rPr>
      </w:pPr>
      <w:r>
        <w:rPr>
          <w:rFonts w:cs="Calibri" w:cstheme="minorHAnsi" w:ascii="Calibri" w:hAnsi="Calibri"/>
          <w:sz w:val="18"/>
          <w:szCs w:val="14"/>
          <w:highlight w:val="cyan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Mgr. Antonín Dohnal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Josefa Valčíka 4411/2, Ostrava-Poruba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0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Jana Sobková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Josefa Valčíka 4411/2, Ostrava-Poruba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426" w:leader="none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425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tbl>
      <w:tblPr>
        <w:tblW w:w="8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"/>
        <w:gridCol w:w="3476"/>
        <w:gridCol w:w="917"/>
        <w:gridCol w:w="3199"/>
      </w:tblGrid>
      <w:tr>
        <w:trPr/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  <w:t>Jméno: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Jana Sobková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adresa:</w:t>
            </w:r>
          </w:p>
        </w:tc>
        <w:tc>
          <w:tcPr>
            <w:tcW w:w="3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Josefa Valčíka 4411/2, Ostrava-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jméno: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rFonts w:ascii="Calibri" w:hAnsi="Calibri" w:cs="Calibri" w:asciiTheme="minorHAnsi" w:cstheme="minorHAnsi" w:hAnsiTheme="minorHAnsi"/>
                <w:shd w:fill="auto" w:val="clear"/>
              </w:rPr>
            </w:pPr>
            <w:r>
              <w:rPr>
                <w:rFonts w:cs="Calibri" w:cstheme="minorHAnsi" w:ascii="Calibri" w:hAnsi="Calibri"/>
                <w:shd w:fill="auto" w:val="clear"/>
                <w:lang w:val="en-GB"/>
              </w:rPr>
              <w:t>XXXXX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jc w:val="left"/>
              <w:rPr>
                <w:lang w:val="en-GB"/>
              </w:rPr>
            </w:pPr>
            <w:r>
              <w:rPr>
                <w:rFonts w:cs="Calibri" w:cstheme="minorHAnsi" w:ascii="Calibri" w:hAnsi="Calibri"/>
                <w:shd w:fill="auto" w:val="clear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76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fax: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36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ListParagraph2"/>
        <w:keepNext w:val="true"/>
        <w:tabs>
          <w:tab w:val="clear" w:pos="708"/>
          <w:tab w:val="left" w:pos="5387" w:leader="none"/>
          <w:tab w:val="left" w:pos="7788" w:leader="none"/>
          <w:tab w:val="left" w:pos="8496" w:leader="none"/>
          <w:tab w:val="left" w:pos="9204" w:leader="none"/>
        </w:tabs>
        <w:spacing w:before="120" w:after="0"/>
        <w:ind w:left="0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ListParagraph2"/>
        <w:keepNext w:val="true"/>
        <w:tabs>
          <w:tab w:val="clear" w:pos="708"/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5245" w:leader="none"/>
          <w:tab w:val="left" w:pos="7788" w:leader="none"/>
          <w:tab w:val="left" w:pos="8496" w:leader="none"/>
          <w:tab w:val="left" w:pos="9204" w:leader="none"/>
        </w:tabs>
        <w:spacing w:before="360" w:after="0"/>
        <w:ind w:left="426" w:hanging="0"/>
        <w:rPr>
          <w:rFonts w:ascii="Calibri" w:hAnsi="Calibri" w:cs="Calibri" w:asciiTheme="minorHAnsi" w:cstheme="minorHAnsi" w:hAnsiTheme="minorHAnsi"/>
          <w:color w:val="auto"/>
          <w:sz w:val="20"/>
        </w:rPr>
      </w:pPr>
      <w:r>
        <w:rPr>
          <w:rFonts w:cs="Calibri" w:cstheme="minorHAnsi" w:ascii="Calibri" w:hAnsi="Calibri"/>
          <w:color w:val="auto"/>
          <w:sz w:val="20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ind w:left="284" w:hanging="0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spacing w:lineRule="auto" w:line="276" w:before="0" w:after="120"/>
        <w:rPr>
          <w:rFonts w:ascii="Calibri" w:hAnsi="Calibri" w:eastAsia="Arial Unicode MS" w:cs="Calibri" w:asciiTheme="minorHAnsi" w:cstheme="minorHAnsi" w:hAnsiTheme="minorHAnsi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8" w:header="709" w:top="1667" w:footer="709" w:bottom="1418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47046167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>
          <w:rPr>
            <w:b/>
            <w:bCs/>
          </w:rPr>
          <w:fldChar w:fldCharType="end"/>
        </w:r>
        <w:r>
          <w:rPr/>
          <w:t xml:space="preserve"> z </w:t>
        </w:r>
        <w:r>
          <w:rPr>
            <w:b/>
          </w:rPr>
          <w:t>6</w:t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>ČÍSLO SMLOUVY OBCHODNÍKA:</w:t>
      <w:tab/>
    </w:r>
  </w:p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  <w:tab/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2977" w:leader="none"/>
        <w:tab w:val="right" w:pos="9072" w:leader="none"/>
      </w:tabs>
      <w:spacing w:before="0" w:after="120"/>
      <w:jc w:val="right"/>
      <w:rPr>
        <w:sz w:val="16"/>
        <w:szCs w:val="16"/>
      </w:rPr>
    </w:pPr>
    <w:r>
      <w:rPr>
        <w:sz w:val="16"/>
        <w:szCs w:val="16"/>
      </w:rPr>
      <w:tab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18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349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4ab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0b4abe"/>
    <w:rPr/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b4ab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4abe"/>
    <w:rPr>
      <w:rFonts w:ascii="Tahoma" w:hAnsi="Tahoma" w:cs="Tahoma"/>
      <w:sz w:val="16"/>
      <w:szCs w:val="16"/>
    </w:rPr>
  </w:style>
  <w:style w:type="character" w:styleId="Internetovodkaz" w:customStyle="1">
    <w:name w:val="Internetový odkaz"/>
    <w:uiPriority w:val="99"/>
    <w:unhideWhenUsed/>
    <w:rsid w:val="00604b2b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349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5349e5"/>
    <w:rPr/>
  </w:style>
  <w:style w:type="character" w:styleId="ZkladntextChar" w:customStyle="1">
    <w:name w:val="Základní text Char"/>
    <w:basedOn w:val="DefaultParagraphFont"/>
    <w:link w:val="Zkladntext"/>
    <w:qFormat/>
    <w:rsid w:val="007f2a95"/>
    <w:rPr>
      <w:rFonts w:ascii="Times New Roman" w:hAnsi="Times New Roman" w:eastAsia="Times New Roman" w:cs="Times New Roman"/>
      <w:color w:val="000000"/>
      <w:sz w:val="24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3b4396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780623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7f2a95"/>
    <w:pPr>
      <w:spacing w:lineRule="atLeast" w:line="266"/>
      <w:jc w:val="both"/>
    </w:pPr>
    <w:rPr>
      <w:rFonts w:ascii="Times New Roman" w:hAnsi="Times New Roman" w:eastAsia="Times New Roman" w:cs="Times New Roman"/>
      <w:color w:val="000000"/>
      <w:sz w:val="24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349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nhideWhenUsed/>
    <w:qFormat/>
    <w:rsid w:val="000b4abe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b4abe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4abe"/>
    <w:pPr/>
    <w:rPr>
      <w:rFonts w:ascii="Tahoma" w:hAnsi="Tahoma" w:cs="Tahoma"/>
      <w:sz w:val="16"/>
      <w:szCs w:val="16"/>
    </w:rPr>
  </w:style>
  <w:style w:type="paragraph" w:styleId="ListParagraph2" w:customStyle="1">
    <w:name w:val="List Paragraph2"/>
    <w:qFormat/>
    <w:rsid w:val="00604b2b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eastAsia="cs-CZ" w:val="cs-CZ" w:bidi="ar-SA"/>
    </w:rPr>
  </w:style>
  <w:style w:type="paragraph" w:styleId="ListParagraph1" w:customStyle="1">
    <w:name w:val="List Paragraph1"/>
    <w:qFormat/>
    <w:rsid w:val="00196c98"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ヒラギノ角ゴ Pro W3" w:cs="Times New Roman"/>
      <w:color w:val="000000"/>
      <w:kern w:val="0"/>
      <w:sz w:val="22"/>
      <w:szCs w:val="20"/>
      <w:lang w:eastAsia="cs-CZ" w:val="cs-CZ" w:bidi="ar-SA"/>
    </w:rPr>
  </w:style>
  <w:style w:type="paragraph" w:styleId="Zkladntextodsazen1" w:customStyle="1">
    <w:name w:val="Základní text odsazený1"/>
    <w:basedOn w:val="Normal"/>
    <w:qFormat/>
    <w:rsid w:val="00196c98"/>
    <w:pPr>
      <w:widowControl w:val="false"/>
      <w:ind w:left="284" w:hanging="284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349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2230b0"/>
    <w:pPr>
      <w:widowControl/>
      <w:suppressAutoHyphens w:val="true"/>
      <w:bidi w:val="0"/>
      <w:spacing w:before="0" w:after="0"/>
      <w:jc w:val="left"/>
    </w:pPr>
    <w:rPr>
      <w:rFonts w:eastAsia="Calibri" w:cs="Arial" w:ascii="Arial" w:hAnsi="Arial"/>
      <w:color w:val="000000"/>
      <w:kern w:val="0"/>
      <w:sz w:val="24"/>
      <w:szCs w:val="24"/>
      <w:lang w:val="cs-CZ" w:eastAsia="en-US" w:bidi="ar-SA"/>
    </w:rPr>
  </w:style>
  <w:style w:type="paragraph" w:styleId="Pa3" w:customStyle="1">
    <w:name w:val="Pa3"/>
    <w:basedOn w:val="Default"/>
    <w:next w:val="Default"/>
    <w:uiPriority w:val="99"/>
    <w:qFormat/>
    <w:rsid w:val="002230b0"/>
    <w:pPr>
      <w:spacing w:lineRule="atLeast" w:line="161"/>
    </w:pPr>
    <w:rPr>
      <w:color w:val="auto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3b4396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8640bd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53340e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cs-CZ" w:eastAsia="en-US" w:bidi="ar-SA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b25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kub.duchon@alpiq.com" TargetMode="External"/><Relationship Id="rId3" Type="http://schemas.openxmlformats.org/officeDocument/2006/relationships/hyperlink" Target="mailto:ssn@tendersystems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2570CD55D1499148FC4EBCF899D4" ma:contentTypeVersion="10" ma:contentTypeDescription="Create a new document." ma:contentTypeScope="" ma:versionID="e165c317bf3df92e5f92b70714f9fdc8">
  <xsd:schema xmlns:xsd="http://www.w3.org/2001/XMLSchema" xmlns:xs="http://www.w3.org/2001/XMLSchema" xmlns:p="http://schemas.microsoft.com/office/2006/metadata/properties" xmlns:ns3="59a69c74-10db-4b38-83dc-5d6dcb1ac198" xmlns:ns4="06424172-77d4-4d69-9abe-3f0960e84465" targetNamespace="http://schemas.microsoft.com/office/2006/metadata/properties" ma:root="true" ma:fieldsID="5350f6592f8ec097027bac3ef349d248" ns3:_="" ns4:_="">
    <xsd:import namespace="59a69c74-10db-4b38-83dc-5d6dcb1ac198"/>
    <xsd:import namespace="06424172-77d4-4d69-9abe-3f0960e84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9c74-10db-4b38-83dc-5d6dcb1ac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4172-77d4-4d69-9abe-3f0960e84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E33FC-F9B0-401B-B68E-C82E3068A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F975C-3EC6-4707-A16A-5CA683F14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9c74-10db-4b38-83dc-5d6dcb1ac198"/>
    <ds:schemaRef ds:uri="06424172-77d4-4d69-9abe-3f0960e84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33E17-2A49-4D21-A32F-C21F67461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LibreOffice/7.0.0.3$Windows_X86_64 LibreOffice_project/8061b3e9204bef6b321a21033174034a5e2ea88e</Application>
  <Pages>8</Pages>
  <Words>1941</Words>
  <Characters>11352</Characters>
  <CharactersWithSpaces>13177</CharactersWithSpaces>
  <Paragraphs>207</Paragraphs>
  <Company>MMO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2021-07-29T14:39:00Z</dcterms:created>
  <dc:creator>admin</dc:creator>
  <dc:description/>
  <dc:language>cs-CZ</dc:language>
  <cp:lastModifiedBy/>
  <cp:lastPrinted>2021-07-26T09:57:00Z</cp:lastPrinted>
  <dcterms:modified xsi:type="dcterms:W3CDTF">2021-11-23T11:45:52Z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MMO</vt:lpwstr>
  </property>
  <property fmtid="{D5CDD505-2E9C-101B-9397-08002B2CF9AE}" pid="4" name="ContentTypeId">
    <vt:lpwstr>0x01010009C12570CD55D1499148FC4EBCF899D4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