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2C2" w:rsidRDefault="009B32C2">
      <w:pPr>
        <w:spacing w:line="1" w:lineRule="exact"/>
      </w:pPr>
    </w:p>
    <w:p w:rsidR="009B32C2" w:rsidRDefault="009B32C2">
      <w:pPr>
        <w:framePr w:wrap="none" w:vAnchor="page" w:hAnchor="page" w:x="7211" w:y="310"/>
        <w:rPr>
          <w:sz w:val="2"/>
          <w:szCs w:val="2"/>
        </w:rPr>
      </w:pPr>
    </w:p>
    <w:p w:rsidR="009B32C2" w:rsidRDefault="004B3D67">
      <w:pPr>
        <w:pStyle w:val="Zkladntext30"/>
        <w:framePr w:wrap="none" w:vAnchor="page" w:hAnchor="page" w:x="814" w:y="1088"/>
        <w:shd w:val="clear" w:color="auto" w:fill="auto"/>
      </w:pPr>
      <w:r>
        <w:t>Smlouva o postoupení práv a povinnosti ze smlouvy</w:t>
      </w:r>
    </w:p>
    <w:p w:rsidR="009B32C2" w:rsidRDefault="004B3D67">
      <w:pPr>
        <w:pStyle w:val="Zkladntext30"/>
        <w:framePr w:wrap="none" w:vAnchor="page" w:hAnchor="page" w:x="8680" w:y="1387"/>
        <w:shd w:val="clear" w:color="auto" w:fill="auto"/>
      </w:pPr>
      <w:r>
        <w:t>7008004752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59"/>
        <w:gridCol w:w="3352"/>
        <w:gridCol w:w="2970"/>
      </w:tblGrid>
      <w:tr w:rsidR="009B32C2">
        <w:tblPrEx>
          <w:tblCellMar>
            <w:top w:w="0" w:type="dxa"/>
            <w:bottom w:w="0" w:type="dxa"/>
          </w:tblCellMar>
        </w:tblPrEx>
        <w:trPr>
          <w:trHeight w:hRule="exact" w:val="468"/>
        </w:trPr>
        <w:tc>
          <w:tcPr>
            <w:tcW w:w="3359" w:type="dxa"/>
            <w:tcBorders>
              <w:top w:val="single" w:sz="4" w:space="0" w:color="auto"/>
              <w:left w:val="single" w:sz="4" w:space="0" w:color="auto"/>
            </w:tcBorders>
            <w:shd w:val="clear" w:color="auto" w:fill="FFFFFF"/>
          </w:tcPr>
          <w:p w:rsidR="009B32C2" w:rsidRDefault="004B3D67">
            <w:pPr>
              <w:pStyle w:val="Jin0"/>
              <w:framePr w:w="9680" w:h="2740" w:wrap="none" w:vAnchor="page" w:hAnchor="page" w:x="1069" w:y="1898"/>
              <w:shd w:val="clear" w:color="auto" w:fill="auto"/>
              <w:spacing w:line="240" w:lineRule="auto"/>
              <w:rPr>
                <w:sz w:val="16"/>
                <w:szCs w:val="16"/>
              </w:rPr>
            </w:pPr>
            <w:proofErr w:type="spellStart"/>
            <w:r>
              <w:rPr>
                <w:b/>
                <w:bCs/>
                <w:sz w:val="16"/>
                <w:szCs w:val="16"/>
              </w:rPr>
              <w:t>OverLine</w:t>
            </w:r>
            <w:proofErr w:type="spellEnd"/>
            <w:r>
              <w:rPr>
                <w:b/>
                <w:bCs/>
                <w:sz w:val="16"/>
                <w:szCs w:val="16"/>
              </w:rPr>
              <w:t xml:space="preserve"> s.r.o.</w:t>
            </w:r>
          </w:p>
        </w:tc>
        <w:tc>
          <w:tcPr>
            <w:tcW w:w="3352" w:type="dxa"/>
            <w:tcBorders>
              <w:top w:val="single" w:sz="4" w:space="0" w:color="auto"/>
              <w:left w:val="single" w:sz="4" w:space="0" w:color="auto"/>
            </w:tcBorders>
            <w:shd w:val="clear" w:color="auto" w:fill="FFFFFF"/>
            <w:vAlign w:val="bottom"/>
          </w:tcPr>
          <w:p w:rsidR="009B32C2" w:rsidRDefault="004B3D67">
            <w:pPr>
              <w:pStyle w:val="Jin0"/>
              <w:framePr w:w="9680" w:h="2740" w:wrap="none" w:vAnchor="page" w:hAnchor="page" w:x="1069" w:y="1898"/>
              <w:shd w:val="clear" w:color="auto" w:fill="auto"/>
              <w:spacing w:line="290" w:lineRule="auto"/>
              <w:rPr>
                <w:sz w:val="16"/>
                <w:szCs w:val="16"/>
              </w:rPr>
            </w:pPr>
            <w:r>
              <w:rPr>
                <w:b/>
                <w:bCs/>
                <w:sz w:val="16"/>
                <w:szCs w:val="16"/>
              </w:rPr>
              <w:t>DOPRAVNÍ PODNIK mest Mostu a Litvínova, a.s.</w:t>
            </w:r>
          </w:p>
        </w:tc>
        <w:tc>
          <w:tcPr>
            <w:tcW w:w="2970" w:type="dxa"/>
            <w:tcBorders>
              <w:top w:val="single" w:sz="4" w:space="0" w:color="auto"/>
              <w:left w:val="single" w:sz="4" w:space="0" w:color="auto"/>
              <w:right w:val="single" w:sz="4" w:space="0" w:color="auto"/>
            </w:tcBorders>
            <w:shd w:val="clear" w:color="auto" w:fill="FFFFFF"/>
          </w:tcPr>
          <w:p w:rsidR="009B32C2" w:rsidRDefault="004B3D67">
            <w:pPr>
              <w:pStyle w:val="Jin0"/>
              <w:framePr w:w="9680" w:h="2740" w:wrap="none" w:vAnchor="page" w:hAnchor="page" w:x="1069" w:y="1898"/>
              <w:shd w:val="clear" w:color="auto" w:fill="auto"/>
              <w:spacing w:line="240" w:lineRule="auto"/>
              <w:rPr>
                <w:sz w:val="16"/>
                <w:szCs w:val="16"/>
              </w:rPr>
            </w:pPr>
            <w:proofErr w:type="spellStart"/>
            <w:r>
              <w:rPr>
                <w:b/>
                <w:bCs/>
                <w:sz w:val="16"/>
                <w:szCs w:val="16"/>
              </w:rPr>
              <w:t>Raiffeisen</w:t>
            </w:r>
            <w:proofErr w:type="spellEnd"/>
            <w:r>
              <w:rPr>
                <w:b/>
                <w:bCs/>
                <w:sz w:val="16"/>
                <w:szCs w:val="16"/>
              </w:rPr>
              <w:t xml:space="preserve"> - Leasing, s.r.o.</w:t>
            </w:r>
          </w:p>
        </w:tc>
      </w:tr>
      <w:tr w:rsidR="009B32C2">
        <w:tblPrEx>
          <w:tblCellMar>
            <w:top w:w="0" w:type="dxa"/>
            <w:bottom w:w="0" w:type="dxa"/>
          </w:tblCellMar>
        </w:tblPrEx>
        <w:trPr>
          <w:trHeight w:hRule="exact" w:val="666"/>
        </w:trPr>
        <w:tc>
          <w:tcPr>
            <w:tcW w:w="3359" w:type="dxa"/>
            <w:tcBorders>
              <w:top w:val="single" w:sz="4" w:space="0" w:color="auto"/>
              <w:left w:val="single" w:sz="4" w:space="0" w:color="auto"/>
            </w:tcBorders>
            <w:shd w:val="clear" w:color="auto" w:fill="FFFFFF"/>
          </w:tcPr>
          <w:p w:rsidR="009B32C2" w:rsidRDefault="004B3D67">
            <w:pPr>
              <w:pStyle w:val="Jin0"/>
              <w:framePr w:w="9680" w:h="2740" w:wrap="none" w:vAnchor="page" w:hAnchor="page" w:x="1069" w:y="1898"/>
              <w:shd w:val="clear" w:color="auto" w:fill="auto"/>
              <w:spacing w:line="240" w:lineRule="auto"/>
            </w:pPr>
            <w:r>
              <w:t>sídlo Na Rovinkách 211,51301 Semily</w:t>
            </w:r>
          </w:p>
        </w:tc>
        <w:tc>
          <w:tcPr>
            <w:tcW w:w="3352" w:type="dxa"/>
            <w:tcBorders>
              <w:top w:val="single" w:sz="4" w:space="0" w:color="auto"/>
              <w:left w:val="single" w:sz="4" w:space="0" w:color="auto"/>
            </w:tcBorders>
            <w:shd w:val="clear" w:color="auto" w:fill="FFFFFF"/>
          </w:tcPr>
          <w:p w:rsidR="009B32C2" w:rsidRDefault="004B3D67">
            <w:pPr>
              <w:pStyle w:val="Jin0"/>
              <w:framePr w:w="9680" w:h="2740" w:wrap="none" w:vAnchor="page" w:hAnchor="page" w:x="1069" w:y="1898"/>
              <w:shd w:val="clear" w:color="auto" w:fill="auto"/>
              <w:spacing w:line="240" w:lineRule="auto"/>
            </w:pPr>
            <w:r>
              <w:t xml:space="preserve">sídlo tř. Budovatelů 1395/23, </w:t>
            </w:r>
            <w:r>
              <w:t>43401 Most</w:t>
            </w:r>
          </w:p>
        </w:tc>
        <w:tc>
          <w:tcPr>
            <w:tcW w:w="2970" w:type="dxa"/>
            <w:tcBorders>
              <w:top w:val="single" w:sz="4" w:space="0" w:color="auto"/>
              <w:left w:val="single" w:sz="4" w:space="0" w:color="auto"/>
              <w:right w:val="single" w:sz="4" w:space="0" w:color="auto"/>
            </w:tcBorders>
            <w:shd w:val="clear" w:color="auto" w:fill="FFFFFF"/>
          </w:tcPr>
          <w:p w:rsidR="009B32C2" w:rsidRDefault="004B3D67">
            <w:pPr>
              <w:pStyle w:val="Jin0"/>
              <w:framePr w:w="9680" w:h="2740" w:wrap="none" w:vAnchor="page" w:hAnchor="page" w:x="1069" w:y="1898"/>
              <w:shd w:val="clear" w:color="auto" w:fill="auto"/>
              <w:spacing w:line="240" w:lineRule="auto"/>
            </w:pPr>
            <w:r>
              <w:t>sídlo Hvězdová 1716/2b,</w:t>
            </w:r>
          </w:p>
          <w:p w:rsidR="009B32C2" w:rsidRDefault="004B3D67">
            <w:pPr>
              <w:pStyle w:val="Jin0"/>
              <w:framePr w:w="9680" w:h="2740" w:wrap="none" w:vAnchor="page" w:hAnchor="page" w:x="1069" w:y="1898"/>
              <w:shd w:val="clear" w:color="auto" w:fill="auto"/>
              <w:spacing w:line="240" w:lineRule="auto"/>
            </w:pPr>
            <w:r>
              <w:t>140 78 Praha 4</w:t>
            </w:r>
          </w:p>
        </w:tc>
      </w:tr>
      <w:tr w:rsidR="009B32C2">
        <w:tblPrEx>
          <w:tblCellMar>
            <w:top w:w="0" w:type="dxa"/>
            <w:bottom w:w="0" w:type="dxa"/>
          </w:tblCellMar>
        </w:tblPrEx>
        <w:trPr>
          <w:trHeight w:hRule="exact" w:val="234"/>
        </w:trPr>
        <w:tc>
          <w:tcPr>
            <w:tcW w:w="3359" w:type="dxa"/>
            <w:tcBorders>
              <w:top w:val="single" w:sz="4" w:space="0" w:color="auto"/>
              <w:left w:val="single" w:sz="4" w:space="0" w:color="auto"/>
            </w:tcBorders>
            <w:shd w:val="clear" w:color="auto" w:fill="FFFFFF"/>
          </w:tcPr>
          <w:p w:rsidR="009B32C2" w:rsidRDefault="004B3D67">
            <w:pPr>
              <w:pStyle w:val="Jin0"/>
              <w:framePr w:w="9680" w:h="2740" w:wrap="none" w:vAnchor="page" w:hAnchor="page" w:x="1069" w:y="1898"/>
              <w:shd w:val="clear" w:color="auto" w:fill="auto"/>
              <w:spacing w:line="240" w:lineRule="auto"/>
            </w:pPr>
            <w:r>
              <w:t>I</w:t>
            </w:r>
            <w:r>
              <w:t>Č 05645638</w:t>
            </w:r>
          </w:p>
        </w:tc>
        <w:tc>
          <w:tcPr>
            <w:tcW w:w="3352" w:type="dxa"/>
            <w:tcBorders>
              <w:top w:val="single" w:sz="4" w:space="0" w:color="auto"/>
              <w:left w:val="single" w:sz="4" w:space="0" w:color="auto"/>
            </w:tcBorders>
            <w:shd w:val="clear" w:color="auto" w:fill="FFFFFF"/>
          </w:tcPr>
          <w:p w:rsidR="009B32C2" w:rsidRDefault="004B3D67">
            <w:pPr>
              <w:pStyle w:val="Jin0"/>
              <w:framePr w:w="9680" w:h="2740" w:wrap="none" w:vAnchor="page" w:hAnchor="page" w:x="1069" w:y="1898"/>
              <w:shd w:val="clear" w:color="auto" w:fill="auto"/>
              <w:spacing w:line="240" w:lineRule="auto"/>
            </w:pPr>
            <w:r>
              <w:t>I</w:t>
            </w:r>
            <w:r>
              <w:t>Č 62242504</w:t>
            </w:r>
          </w:p>
        </w:tc>
        <w:tc>
          <w:tcPr>
            <w:tcW w:w="2970" w:type="dxa"/>
            <w:tcBorders>
              <w:top w:val="single" w:sz="4" w:space="0" w:color="auto"/>
              <w:left w:val="single" w:sz="4" w:space="0" w:color="auto"/>
              <w:right w:val="single" w:sz="4" w:space="0" w:color="auto"/>
            </w:tcBorders>
            <w:shd w:val="clear" w:color="auto" w:fill="FFFFFF"/>
          </w:tcPr>
          <w:p w:rsidR="009B32C2" w:rsidRDefault="004B3D67">
            <w:pPr>
              <w:pStyle w:val="Jin0"/>
              <w:framePr w:w="9680" w:h="2740" w:wrap="none" w:vAnchor="page" w:hAnchor="page" w:x="1069" w:y="1898"/>
              <w:shd w:val="clear" w:color="auto" w:fill="auto"/>
              <w:spacing w:line="240" w:lineRule="auto"/>
            </w:pPr>
            <w:r>
              <w:t>I</w:t>
            </w:r>
            <w:r>
              <w:t>Č 61467863</w:t>
            </w:r>
          </w:p>
        </w:tc>
      </w:tr>
      <w:tr w:rsidR="009B32C2">
        <w:tblPrEx>
          <w:tblCellMar>
            <w:top w:w="0" w:type="dxa"/>
            <w:bottom w:w="0" w:type="dxa"/>
          </w:tblCellMar>
        </w:tblPrEx>
        <w:trPr>
          <w:trHeight w:hRule="exact" w:val="230"/>
        </w:trPr>
        <w:tc>
          <w:tcPr>
            <w:tcW w:w="3359" w:type="dxa"/>
            <w:tcBorders>
              <w:top w:val="single" w:sz="4" w:space="0" w:color="auto"/>
              <w:left w:val="single" w:sz="4" w:space="0" w:color="auto"/>
            </w:tcBorders>
            <w:shd w:val="clear" w:color="auto" w:fill="FFFFFF"/>
          </w:tcPr>
          <w:p w:rsidR="009B32C2" w:rsidRDefault="004B3D67">
            <w:pPr>
              <w:pStyle w:val="Jin0"/>
              <w:framePr w:w="9680" w:h="2740" w:wrap="none" w:vAnchor="page" w:hAnchor="page" w:x="1069" w:y="1898"/>
              <w:shd w:val="clear" w:color="auto" w:fill="auto"/>
              <w:spacing w:line="240" w:lineRule="auto"/>
            </w:pPr>
            <w:r>
              <w:t>DIČ CZ699005114</w:t>
            </w:r>
          </w:p>
        </w:tc>
        <w:tc>
          <w:tcPr>
            <w:tcW w:w="3352" w:type="dxa"/>
            <w:tcBorders>
              <w:top w:val="single" w:sz="4" w:space="0" w:color="auto"/>
              <w:left w:val="single" w:sz="4" w:space="0" w:color="auto"/>
            </w:tcBorders>
            <w:shd w:val="clear" w:color="auto" w:fill="FFFFFF"/>
          </w:tcPr>
          <w:p w:rsidR="009B32C2" w:rsidRDefault="004B3D67">
            <w:pPr>
              <w:pStyle w:val="Jin0"/>
              <w:framePr w:w="9680" w:h="2740" w:wrap="none" w:vAnchor="page" w:hAnchor="page" w:x="1069" w:y="1898"/>
              <w:shd w:val="clear" w:color="auto" w:fill="auto"/>
              <w:spacing w:line="240" w:lineRule="auto"/>
            </w:pPr>
            <w:r>
              <w:t>DIČ CZ62242504</w:t>
            </w:r>
          </w:p>
        </w:tc>
        <w:tc>
          <w:tcPr>
            <w:tcW w:w="2970" w:type="dxa"/>
            <w:tcBorders>
              <w:top w:val="single" w:sz="4" w:space="0" w:color="auto"/>
              <w:left w:val="single" w:sz="4" w:space="0" w:color="auto"/>
              <w:right w:val="single" w:sz="4" w:space="0" w:color="auto"/>
            </w:tcBorders>
            <w:shd w:val="clear" w:color="auto" w:fill="FFFFFF"/>
          </w:tcPr>
          <w:p w:rsidR="009B32C2" w:rsidRDefault="004B3D67">
            <w:pPr>
              <w:pStyle w:val="Jin0"/>
              <w:framePr w:w="9680" w:h="2740" w:wrap="none" w:vAnchor="page" w:hAnchor="page" w:x="1069" w:y="1898"/>
              <w:shd w:val="clear" w:color="auto" w:fill="auto"/>
              <w:spacing w:line="240" w:lineRule="auto"/>
            </w:pPr>
            <w:r>
              <w:t>DIČ CZ61467863</w:t>
            </w:r>
          </w:p>
        </w:tc>
      </w:tr>
      <w:tr w:rsidR="009B32C2">
        <w:tblPrEx>
          <w:tblCellMar>
            <w:top w:w="0" w:type="dxa"/>
            <w:bottom w:w="0" w:type="dxa"/>
          </w:tblCellMar>
        </w:tblPrEx>
        <w:trPr>
          <w:trHeight w:hRule="exact" w:val="673"/>
        </w:trPr>
        <w:tc>
          <w:tcPr>
            <w:tcW w:w="3359" w:type="dxa"/>
            <w:tcBorders>
              <w:top w:val="single" w:sz="4" w:space="0" w:color="auto"/>
              <w:left w:val="single" w:sz="4" w:space="0" w:color="auto"/>
            </w:tcBorders>
            <w:shd w:val="clear" w:color="auto" w:fill="FFFFFF"/>
            <w:vAlign w:val="bottom"/>
          </w:tcPr>
          <w:p w:rsidR="009B32C2" w:rsidRDefault="004B3D67">
            <w:pPr>
              <w:pStyle w:val="Jin0"/>
              <w:framePr w:w="9680" w:h="2740" w:wrap="none" w:vAnchor="page" w:hAnchor="page" w:x="1069" w:y="1898"/>
              <w:shd w:val="clear" w:color="auto" w:fill="auto"/>
              <w:spacing w:line="302" w:lineRule="auto"/>
            </w:pPr>
            <w:r>
              <w:t>zapsaná v obchodním rejstříku vedeném Krajským soudem v Hradci Králové, oddíl C, vložka 40494</w:t>
            </w:r>
          </w:p>
        </w:tc>
        <w:tc>
          <w:tcPr>
            <w:tcW w:w="3352" w:type="dxa"/>
            <w:tcBorders>
              <w:top w:val="single" w:sz="4" w:space="0" w:color="auto"/>
              <w:left w:val="single" w:sz="4" w:space="0" w:color="auto"/>
            </w:tcBorders>
            <w:shd w:val="clear" w:color="auto" w:fill="FFFFFF"/>
            <w:vAlign w:val="bottom"/>
          </w:tcPr>
          <w:p w:rsidR="009B32C2" w:rsidRDefault="004B3D67">
            <w:pPr>
              <w:pStyle w:val="Jin0"/>
              <w:framePr w:w="9680" w:h="2740" w:wrap="none" w:vAnchor="page" w:hAnchor="page" w:x="1069" w:y="1898"/>
              <w:shd w:val="clear" w:color="auto" w:fill="auto"/>
            </w:pPr>
            <w:r>
              <w:t xml:space="preserve">zapsaná v obchodním </w:t>
            </w:r>
            <w:r>
              <w:t>rejstříku vedeném Krajským soudem v Ústí nad Labem, oddíl B, vložka 660</w:t>
            </w:r>
          </w:p>
        </w:tc>
        <w:tc>
          <w:tcPr>
            <w:tcW w:w="2970" w:type="dxa"/>
            <w:tcBorders>
              <w:top w:val="single" w:sz="4" w:space="0" w:color="auto"/>
              <w:left w:val="single" w:sz="4" w:space="0" w:color="auto"/>
              <w:right w:val="single" w:sz="4" w:space="0" w:color="auto"/>
            </w:tcBorders>
            <w:shd w:val="clear" w:color="auto" w:fill="FFFFFF"/>
            <w:vAlign w:val="bottom"/>
          </w:tcPr>
          <w:p w:rsidR="009B32C2" w:rsidRDefault="004B3D67">
            <w:pPr>
              <w:pStyle w:val="Jin0"/>
              <w:framePr w:w="9680" w:h="2740" w:wrap="none" w:vAnchor="page" w:hAnchor="page" w:x="1069" w:y="1898"/>
              <w:shd w:val="clear" w:color="auto" w:fill="auto"/>
              <w:spacing w:line="307" w:lineRule="auto"/>
            </w:pPr>
            <w:r>
              <w:t>zapsaná v obchodním rejstříku vedeném Městským soudem v Praze, oddíl C, vložka 29553</w:t>
            </w:r>
          </w:p>
        </w:tc>
      </w:tr>
      <w:tr w:rsidR="009B32C2">
        <w:tblPrEx>
          <w:tblCellMar>
            <w:top w:w="0" w:type="dxa"/>
            <w:bottom w:w="0" w:type="dxa"/>
          </w:tblCellMar>
        </w:tblPrEx>
        <w:trPr>
          <w:trHeight w:hRule="exact" w:val="468"/>
        </w:trPr>
        <w:tc>
          <w:tcPr>
            <w:tcW w:w="3359" w:type="dxa"/>
            <w:tcBorders>
              <w:top w:val="single" w:sz="4" w:space="0" w:color="auto"/>
              <w:left w:val="single" w:sz="4" w:space="0" w:color="auto"/>
              <w:bottom w:val="single" w:sz="4" w:space="0" w:color="auto"/>
            </w:tcBorders>
            <w:shd w:val="clear" w:color="auto" w:fill="FFFFFF"/>
            <w:vAlign w:val="bottom"/>
          </w:tcPr>
          <w:p w:rsidR="009B32C2" w:rsidRDefault="004B3D67">
            <w:pPr>
              <w:pStyle w:val="Jin0"/>
              <w:framePr w:w="9680" w:h="2740" w:wrap="none" w:vAnchor="page" w:hAnchor="page" w:x="1069" w:y="1898"/>
              <w:shd w:val="clear" w:color="auto" w:fill="auto"/>
              <w:spacing w:line="307" w:lineRule="auto"/>
              <w:rPr>
                <w:sz w:val="16"/>
                <w:szCs w:val="16"/>
              </w:rPr>
            </w:pPr>
            <w:r>
              <w:t xml:space="preserve">původní příjemce leasingu dále jen </w:t>
            </w:r>
            <w:r>
              <w:rPr>
                <w:b/>
                <w:bCs/>
                <w:sz w:val="16"/>
                <w:szCs w:val="16"/>
              </w:rPr>
              <w:t>"První příjemce"</w:t>
            </w:r>
          </w:p>
        </w:tc>
        <w:tc>
          <w:tcPr>
            <w:tcW w:w="3352" w:type="dxa"/>
            <w:tcBorders>
              <w:top w:val="single" w:sz="4" w:space="0" w:color="auto"/>
              <w:left w:val="single" w:sz="4" w:space="0" w:color="auto"/>
              <w:bottom w:val="single" w:sz="4" w:space="0" w:color="auto"/>
            </w:tcBorders>
            <w:shd w:val="clear" w:color="auto" w:fill="FFFFFF"/>
            <w:vAlign w:val="bottom"/>
          </w:tcPr>
          <w:p w:rsidR="009B32C2" w:rsidRDefault="004B3D67">
            <w:pPr>
              <w:pStyle w:val="Jin0"/>
              <w:framePr w:w="9680" w:h="2740" w:wrap="none" w:vAnchor="page" w:hAnchor="page" w:x="1069" w:y="1898"/>
              <w:shd w:val="clear" w:color="auto" w:fill="auto"/>
              <w:rPr>
                <w:sz w:val="16"/>
                <w:szCs w:val="16"/>
              </w:rPr>
            </w:pPr>
            <w:r>
              <w:t xml:space="preserve">nový příjemce leasingu dále jen </w:t>
            </w:r>
            <w:r>
              <w:rPr>
                <w:b/>
                <w:bCs/>
                <w:sz w:val="16"/>
                <w:szCs w:val="16"/>
              </w:rPr>
              <w:t xml:space="preserve">"Druhý </w:t>
            </w:r>
            <w:r>
              <w:rPr>
                <w:b/>
                <w:bCs/>
                <w:sz w:val="16"/>
                <w:szCs w:val="16"/>
              </w:rPr>
              <w:t>příjemce"</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bottom"/>
          </w:tcPr>
          <w:p w:rsidR="009B32C2" w:rsidRDefault="004B3D67">
            <w:pPr>
              <w:pStyle w:val="Jin0"/>
              <w:framePr w:w="9680" w:h="2740" w:wrap="none" w:vAnchor="page" w:hAnchor="page" w:x="1069" w:y="1898"/>
              <w:shd w:val="clear" w:color="auto" w:fill="auto"/>
              <w:spacing w:line="307" w:lineRule="auto"/>
              <w:rPr>
                <w:sz w:val="16"/>
                <w:szCs w:val="16"/>
              </w:rPr>
            </w:pPr>
            <w:r>
              <w:t xml:space="preserve">poskytovatel leasingu dále jen </w:t>
            </w:r>
            <w:r>
              <w:rPr>
                <w:b/>
                <w:bCs/>
                <w:sz w:val="16"/>
                <w:szCs w:val="16"/>
              </w:rPr>
              <w:t>"Poskytovatel"</w:t>
            </w:r>
          </w:p>
        </w:tc>
      </w:tr>
    </w:tbl>
    <w:p w:rsidR="009B32C2" w:rsidRDefault="004B3D67">
      <w:pPr>
        <w:pStyle w:val="Zkladntext1"/>
        <w:framePr w:w="9734" w:h="1271" w:hRule="exact" w:wrap="none" w:vAnchor="page" w:hAnchor="page" w:x="1037" w:y="4749"/>
        <w:shd w:val="clear" w:color="auto" w:fill="auto"/>
        <w:spacing w:after="80" w:line="317" w:lineRule="auto"/>
      </w:pPr>
      <w:r>
        <w:t>První příjemce, Druhý příjemce a Poskytovatel ve smyslu § 1895 odst. 1 zákona č. 89/2012 Sb., občanský zákoník, ve znění pozdějších předpisů - dále také jen „OZ", uzavírají tuto smlouvu:</w:t>
      </w:r>
    </w:p>
    <w:p w:rsidR="009B32C2" w:rsidRDefault="004B3D67">
      <w:pPr>
        <w:pStyle w:val="Nadpis20"/>
        <w:framePr w:w="9734" w:h="1271" w:hRule="exact" w:wrap="none" w:vAnchor="page" w:hAnchor="page" w:x="1037" w:y="4749"/>
        <w:shd w:val="clear" w:color="auto" w:fill="auto"/>
        <w:spacing w:line="295" w:lineRule="auto"/>
      </w:pPr>
      <w:bookmarkStart w:id="0" w:name="bookmark2"/>
      <w:bookmarkStart w:id="1" w:name="bookmark3"/>
      <w:r>
        <w:t xml:space="preserve">1. Úvodní </w:t>
      </w:r>
      <w:r>
        <w:t>ustanovení</w:t>
      </w:r>
      <w:bookmarkEnd w:id="0"/>
      <w:bookmarkEnd w:id="1"/>
    </w:p>
    <w:p w:rsidR="009B32C2" w:rsidRDefault="004B3D67">
      <w:pPr>
        <w:pStyle w:val="Zkladntext1"/>
        <w:framePr w:w="9734" w:h="1271" w:hRule="exact" w:wrap="none" w:vAnchor="page" w:hAnchor="page" w:x="1037" w:y="4749"/>
        <w:numPr>
          <w:ilvl w:val="0"/>
          <w:numId w:val="1"/>
        </w:numPr>
        <w:shd w:val="clear" w:color="auto" w:fill="auto"/>
        <w:tabs>
          <w:tab w:val="left" w:pos="562"/>
        </w:tabs>
        <w:spacing w:line="305" w:lineRule="auto"/>
      </w:pPr>
      <w:r>
        <w:t>Poskytovatel uzavřel s Prvním příjemcem leasingovou smlouvu č. 7008004752 (dále jen "Smlouva"}, jejímž předmětem je leasing tohoto předmětu leasingu (dále jen "Předmět"):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78"/>
        <w:gridCol w:w="7499"/>
      </w:tblGrid>
      <w:tr w:rsidR="009B32C2">
        <w:tblPrEx>
          <w:tblCellMar>
            <w:top w:w="0" w:type="dxa"/>
            <w:bottom w:w="0" w:type="dxa"/>
          </w:tblCellMar>
        </w:tblPrEx>
        <w:trPr>
          <w:trHeight w:hRule="exact" w:val="252"/>
        </w:trPr>
        <w:tc>
          <w:tcPr>
            <w:tcW w:w="2178" w:type="dxa"/>
            <w:tcBorders>
              <w:top w:val="single" w:sz="4" w:space="0" w:color="auto"/>
              <w:left w:val="single" w:sz="4" w:space="0" w:color="auto"/>
            </w:tcBorders>
            <w:shd w:val="clear" w:color="auto" w:fill="FFFFFF"/>
            <w:vAlign w:val="bottom"/>
          </w:tcPr>
          <w:p w:rsidR="009B32C2" w:rsidRDefault="004B3D67">
            <w:pPr>
              <w:pStyle w:val="Jin0"/>
              <w:framePr w:w="9677" w:h="976" w:wrap="none" w:vAnchor="page" w:hAnchor="page" w:x="1073" w:y="6023"/>
              <w:shd w:val="clear" w:color="auto" w:fill="auto"/>
              <w:spacing w:line="240" w:lineRule="auto"/>
            </w:pPr>
            <w:r>
              <w:t>Obecná specifikace</w:t>
            </w:r>
          </w:p>
        </w:tc>
        <w:tc>
          <w:tcPr>
            <w:tcW w:w="7499" w:type="dxa"/>
            <w:tcBorders>
              <w:top w:val="single" w:sz="4" w:space="0" w:color="auto"/>
              <w:right w:val="single" w:sz="4" w:space="0" w:color="auto"/>
            </w:tcBorders>
            <w:shd w:val="clear" w:color="auto" w:fill="FFFFFF"/>
            <w:vAlign w:val="bottom"/>
          </w:tcPr>
          <w:p w:rsidR="009B32C2" w:rsidRDefault="004B3D67">
            <w:pPr>
              <w:pStyle w:val="Jin0"/>
              <w:framePr w:w="9677" w:h="976" w:wrap="none" w:vAnchor="page" w:hAnchor="page" w:x="1073" w:y="6023"/>
              <w:shd w:val="clear" w:color="auto" w:fill="auto"/>
              <w:spacing w:line="240" w:lineRule="auto"/>
              <w:ind w:firstLine="620"/>
            </w:pPr>
            <w:proofErr w:type="spellStart"/>
            <w:r>
              <w:t>llVECO</w:t>
            </w:r>
            <w:proofErr w:type="spellEnd"/>
            <w:r>
              <w:t xml:space="preserve"> </w:t>
            </w:r>
            <w:proofErr w:type="spellStart"/>
            <w:r>
              <w:t>busURBANWAY</w:t>
            </w:r>
            <w:proofErr w:type="spellEnd"/>
            <w:r>
              <w:t xml:space="preserve"> 18</w:t>
            </w:r>
          </w:p>
        </w:tc>
      </w:tr>
      <w:tr w:rsidR="009B32C2">
        <w:tblPrEx>
          <w:tblCellMar>
            <w:top w:w="0" w:type="dxa"/>
            <w:bottom w:w="0" w:type="dxa"/>
          </w:tblCellMar>
        </w:tblPrEx>
        <w:trPr>
          <w:trHeight w:hRule="exact" w:val="234"/>
        </w:trPr>
        <w:tc>
          <w:tcPr>
            <w:tcW w:w="2178" w:type="dxa"/>
            <w:tcBorders>
              <w:top w:val="single" w:sz="4" w:space="0" w:color="auto"/>
              <w:left w:val="single" w:sz="4" w:space="0" w:color="auto"/>
            </w:tcBorders>
            <w:shd w:val="clear" w:color="auto" w:fill="FFFFFF"/>
            <w:vAlign w:val="bottom"/>
          </w:tcPr>
          <w:p w:rsidR="009B32C2" w:rsidRDefault="004B3D67">
            <w:pPr>
              <w:pStyle w:val="Jin0"/>
              <w:framePr w:w="9677" w:h="976" w:wrap="none" w:vAnchor="page" w:hAnchor="page" w:x="1073" w:y="6023"/>
              <w:shd w:val="clear" w:color="auto" w:fill="auto"/>
              <w:spacing w:line="240" w:lineRule="auto"/>
            </w:pPr>
            <w:r>
              <w:t>Značka, model, typ</w:t>
            </w:r>
          </w:p>
        </w:tc>
        <w:tc>
          <w:tcPr>
            <w:tcW w:w="7499" w:type="dxa"/>
            <w:tcBorders>
              <w:top w:val="single" w:sz="4" w:space="0" w:color="auto"/>
              <w:right w:val="single" w:sz="4" w:space="0" w:color="auto"/>
            </w:tcBorders>
            <w:shd w:val="clear" w:color="auto" w:fill="FFFFFF"/>
            <w:vAlign w:val="bottom"/>
          </w:tcPr>
          <w:p w:rsidR="009B32C2" w:rsidRDefault="004B3D67">
            <w:pPr>
              <w:pStyle w:val="Jin0"/>
              <w:framePr w:w="9677" w:h="976" w:wrap="none" w:vAnchor="page" w:hAnchor="page" w:x="1073" w:y="6023"/>
              <w:shd w:val="clear" w:color="auto" w:fill="auto"/>
              <w:spacing w:line="240" w:lineRule="auto"/>
              <w:ind w:firstLine="700"/>
            </w:pPr>
            <w:r>
              <w:t>IVECO</w:t>
            </w:r>
          </w:p>
        </w:tc>
      </w:tr>
      <w:tr w:rsidR="009B32C2">
        <w:tblPrEx>
          <w:tblCellMar>
            <w:top w:w="0" w:type="dxa"/>
            <w:bottom w:w="0" w:type="dxa"/>
          </w:tblCellMar>
        </w:tblPrEx>
        <w:trPr>
          <w:trHeight w:hRule="exact" w:val="234"/>
        </w:trPr>
        <w:tc>
          <w:tcPr>
            <w:tcW w:w="2178" w:type="dxa"/>
            <w:tcBorders>
              <w:top w:val="single" w:sz="4" w:space="0" w:color="auto"/>
              <w:left w:val="single" w:sz="4" w:space="0" w:color="auto"/>
            </w:tcBorders>
            <w:shd w:val="clear" w:color="auto" w:fill="FFFFFF"/>
            <w:vAlign w:val="bottom"/>
          </w:tcPr>
          <w:p w:rsidR="009B32C2" w:rsidRDefault="004B3D67">
            <w:pPr>
              <w:pStyle w:val="Jin0"/>
              <w:framePr w:w="9677" w:h="976" w:wrap="none" w:vAnchor="page" w:hAnchor="page" w:x="1073" w:y="6023"/>
              <w:shd w:val="clear" w:color="auto" w:fill="auto"/>
              <w:spacing w:line="240" w:lineRule="auto"/>
            </w:pPr>
            <w:r>
              <w:t>Registrační značka</w:t>
            </w:r>
          </w:p>
        </w:tc>
        <w:tc>
          <w:tcPr>
            <w:tcW w:w="7499" w:type="dxa"/>
            <w:tcBorders>
              <w:top w:val="single" w:sz="4" w:space="0" w:color="auto"/>
              <w:right w:val="single" w:sz="4" w:space="0" w:color="auto"/>
            </w:tcBorders>
            <w:shd w:val="clear" w:color="auto" w:fill="FFFFFF"/>
            <w:vAlign w:val="bottom"/>
          </w:tcPr>
          <w:p w:rsidR="009B32C2" w:rsidRDefault="004B3D67">
            <w:pPr>
              <w:pStyle w:val="Jin0"/>
              <w:framePr w:w="9677" w:h="976" w:wrap="none" w:vAnchor="page" w:hAnchor="page" w:x="1073" w:y="6023"/>
              <w:shd w:val="clear" w:color="auto" w:fill="auto"/>
              <w:spacing w:line="240" w:lineRule="auto"/>
              <w:ind w:firstLine="700"/>
            </w:pPr>
            <w:r>
              <w:t>5E79943</w:t>
            </w:r>
          </w:p>
        </w:tc>
      </w:tr>
      <w:tr w:rsidR="009B32C2">
        <w:tblPrEx>
          <w:tblCellMar>
            <w:top w:w="0" w:type="dxa"/>
            <w:bottom w:w="0" w:type="dxa"/>
          </w:tblCellMar>
        </w:tblPrEx>
        <w:trPr>
          <w:trHeight w:hRule="exact" w:val="256"/>
        </w:trPr>
        <w:tc>
          <w:tcPr>
            <w:tcW w:w="2178" w:type="dxa"/>
            <w:tcBorders>
              <w:top w:val="single" w:sz="4" w:space="0" w:color="auto"/>
              <w:left w:val="single" w:sz="4" w:space="0" w:color="auto"/>
              <w:bottom w:val="single" w:sz="4" w:space="0" w:color="auto"/>
            </w:tcBorders>
            <w:shd w:val="clear" w:color="auto" w:fill="FFFFFF"/>
          </w:tcPr>
          <w:p w:rsidR="009B32C2" w:rsidRDefault="004B3D67">
            <w:pPr>
              <w:pStyle w:val="Jin0"/>
              <w:framePr w:w="9677" w:h="976" w:wrap="none" w:vAnchor="page" w:hAnchor="page" w:x="1073" w:y="6023"/>
              <w:shd w:val="clear" w:color="auto" w:fill="auto"/>
              <w:spacing w:line="240" w:lineRule="auto"/>
            </w:pPr>
            <w:r>
              <w:t>výrobní číslo, VIN</w:t>
            </w:r>
          </w:p>
        </w:tc>
        <w:tc>
          <w:tcPr>
            <w:tcW w:w="7499" w:type="dxa"/>
            <w:tcBorders>
              <w:top w:val="single" w:sz="4" w:space="0" w:color="auto"/>
              <w:bottom w:val="single" w:sz="4" w:space="0" w:color="auto"/>
              <w:right w:val="single" w:sz="4" w:space="0" w:color="auto"/>
            </w:tcBorders>
            <w:shd w:val="clear" w:color="auto" w:fill="FFFFFF"/>
          </w:tcPr>
          <w:p w:rsidR="009B32C2" w:rsidRDefault="004B3D67">
            <w:pPr>
              <w:pStyle w:val="Jin0"/>
              <w:framePr w:w="9677" w:h="976" w:wrap="none" w:vAnchor="page" w:hAnchor="page" w:x="1073" w:y="6023"/>
              <w:shd w:val="clear" w:color="auto" w:fill="auto"/>
              <w:spacing w:line="240" w:lineRule="auto"/>
              <w:ind w:firstLine="620"/>
            </w:pPr>
            <w:r>
              <w:t>| VNE422CP500308694</w:t>
            </w:r>
          </w:p>
        </w:tc>
      </w:tr>
    </w:tbl>
    <w:p w:rsidR="009B32C2" w:rsidRDefault="004B3D67">
      <w:pPr>
        <w:pStyle w:val="Zkladntext1"/>
        <w:framePr w:w="9734" w:h="4954" w:hRule="exact" w:wrap="none" w:vAnchor="page" w:hAnchor="page" w:x="1037" w:y="7053"/>
        <w:numPr>
          <w:ilvl w:val="0"/>
          <w:numId w:val="1"/>
        </w:numPr>
        <w:shd w:val="clear" w:color="auto" w:fill="auto"/>
        <w:tabs>
          <w:tab w:val="left" w:pos="562"/>
        </w:tabs>
        <w:spacing w:line="302" w:lineRule="auto"/>
      </w:pPr>
      <w:r>
        <w:t xml:space="preserve">Druhý příjemce tímto výslovně prohlašuje, že se Smlouvou se pečlivě seznámil a s jejím obsahem souhlasí. Druhý příjemce dnem nabytí účinnosti této smlouvy vstupuje do práv a povinností </w:t>
      </w:r>
      <w:r>
        <w:t>Prvního příjemce ze Smlouvy a stává se namísto Prvního příjemce smluvní stranou - Příjemcem *- dle Smlouvy.</w:t>
      </w:r>
    </w:p>
    <w:p w:rsidR="009B32C2" w:rsidRDefault="004B3D67">
      <w:pPr>
        <w:pStyle w:val="Zkladntext1"/>
        <w:framePr w:w="9734" w:h="4954" w:hRule="exact" w:wrap="none" w:vAnchor="page" w:hAnchor="page" w:x="1037" w:y="7053"/>
        <w:numPr>
          <w:ilvl w:val="0"/>
          <w:numId w:val="1"/>
        </w:numPr>
        <w:shd w:val="clear" w:color="auto" w:fill="auto"/>
        <w:tabs>
          <w:tab w:val="left" w:pos="562"/>
        </w:tabs>
        <w:spacing w:after="140" w:line="288" w:lineRule="auto"/>
        <w:rPr>
          <w:sz w:val="16"/>
          <w:szCs w:val="16"/>
        </w:rPr>
      </w:pPr>
      <w:r>
        <w:t xml:space="preserve">Tato </w:t>
      </w:r>
      <w:r>
        <w:rPr>
          <w:b/>
          <w:bCs/>
          <w:sz w:val="16"/>
          <w:szCs w:val="16"/>
        </w:rPr>
        <w:t xml:space="preserve">smlouva nabývá účinnosti dnem </w:t>
      </w:r>
      <w:proofErr w:type="gramStart"/>
      <w:r>
        <w:rPr>
          <w:b/>
          <w:bCs/>
          <w:sz w:val="16"/>
          <w:szCs w:val="16"/>
        </w:rPr>
        <w:t>15.10.2021</w:t>
      </w:r>
      <w:proofErr w:type="gramEnd"/>
      <w:r>
        <w:rPr>
          <w:b/>
          <w:bCs/>
          <w:sz w:val="16"/>
          <w:szCs w:val="16"/>
        </w:rPr>
        <w:t xml:space="preserve"> .</w:t>
      </w:r>
    </w:p>
    <w:p w:rsidR="009B32C2" w:rsidRDefault="004B3D67">
      <w:pPr>
        <w:pStyle w:val="Nadpis20"/>
        <w:framePr w:w="9734" w:h="4954" w:hRule="exact" w:wrap="none" w:vAnchor="page" w:hAnchor="page" w:x="1037" w:y="7053"/>
        <w:shd w:val="clear" w:color="auto" w:fill="auto"/>
        <w:tabs>
          <w:tab w:val="left" w:pos="562"/>
        </w:tabs>
      </w:pPr>
      <w:bookmarkStart w:id="2" w:name="bookmark4"/>
      <w:bookmarkStart w:id="3" w:name="bookmark5"/>
      <w:r>
        <w:t>11.</w:t>
      </w:r>
      <w:r>
        <w:tab/>
        <w:t>Předmět smlouvy</w:t>
      </w:r>
      <w:bookmarkEnd w:id="2"/>
      <w:bookmarkEnd w:id="3"/>
    </w:p>
    <w:p w:rsidR="009B32C2" w:rsidRDefault="004B3D67">
      <w:pPr>
        <w:pStyle w:val="Zkladntext1"/>
        <w:framePr w:w="9734" w:h="4954" w:hRule="exact" w:wrap="none" w:vAnchor="page" w:hAnchor="page" w:x="1037" w:y="7053"/>
        <w:numPr>
          <w:ilvl w:val="0"/>
          <w:numId w:val="2"/>
        </w:numPr>
        <w:shd w:val="clear" w:color="auto" w:fill="auto"/>
        <w:tabs>
          <w:tab w:val="left" w:pos="562"/>
        </w:tabs>
        <w:spacing w:line="295" w:lineRule="auto"/>
      </w:pPr>
      <w:r>
        <w:t>Smluvní strany se dohodly, že dnem účinnosti této smlouvy První příjemce postupu</w:t>
      </w:r>
      <w:r>
        <w:t>je na Druhého příjemce veškerá</w:t>
      </w:r>
      <w:r>
        <w:t xml:space="preserve"> svá práva a povinnosti ze Smlouvy.</w:t>
      </w:r>
    </w:p>
    <w:p w:rsidR="009B32C2" w:rsidRDefault="004B3D67">
      <w:pPr>
        <w:pStyle w:val="Zkladntext1"/>
        <w:framePr w:w="9734" w:h="4954" w:hRule="exact" w:wrap="none" w:vAnchor="page" w:hAnchor="page" w:x="1037" w:y="7053"/>
        <w:numPr>
          <w:ilvl w:val="0"/>
          <w:numId w:val="2"/>
        </w:numPr>
        <w:shd w:val="clear" w:color="auto" w:fill="auto"/>
        <w:tabs>
          <w:tab w:val="left" w:pos="562"/>
        </w:tabs>
      </w:pPr>
      <w:r>
        <w:t>Dnem účinnosti této smlouvy se tak na Druhého příjemce převádějí zejména veškeré splatné i nesplatné dluhy (a další povinnosti) Prvního příjemce vyplývající mu ze Smlouvy. Druhý příjemce se</w:t>
      </w:r>
      <w:r>
        <w:t xml:space="preserve"> zavazuje zejména platit Poskytovateli v souladu se Smlouvou včas a ř</w:t>
      </w:r>
      <w:r>
        <w:t>ádně sjednané splátky, další peněžité dluhy vyplývající ze Smlouvy a dodržovat všechny ostatní povinnosti vyplývajícímu ze Smlouvy.</w:t>
      </w:r>
    </w:p>
    <w:p w:rsidR="009B32C2" w:rsidRDefault="004B3D67">
      <w:pPr>
        <w:pStyle w:val="Zkladntext1"/>
        <w:framePr w:w="9734" w:h="4954" w:hRule="exact" w:wrap="none" w:vAnchor="page" w:hAnchor="page" w:x="1037" w:y="7053"/>
        <w:numPr>
          <w:ilvl w:val="0"/>
          <w:numId w:val="2"/>
        </w:numPr>
        <w:shd w:val="clear" w:color="auto" w:fill="auto"/>
        <w:tabs>
          <w:tab w:val="left" w:pos="562"/>
        </w:tabs>
      </w:pPr>
      <w:r>
        <w:t>Postoupení dle této smlouvy se sjednává jako úplatné; ú</w:t>
      </w:r>
      <w:r>
        <w:t>plata, kterou je První příjemce (s ohledem na to, že v rámci postoupení jsou převáděny převážně povinnosti - dluhy) povinen uhradit Druhému příjemci za toto postoupení (nebylo-li mezi nimi písemně sjednáno jinak) činí 1,- KČ včetně DPH.</w:t>
      </w:r>
    </w:p>
    <w:p w:rsidR="009B32C2" w:rsidRDefault="004B3D67">
      <w:pPr>
        <w:pStyle w:val="Zkladntext1"/>
        <w:framePr w:w="9734" w:h="4954" w:hRule="exact" w:wrap="none" w:vAnchor="page" w:hAnchor="page" w:x="1037" w:y="7053"/>
        <w:numPr>
          <w:ilvl w:val="0"/>
          <w:numId w:val="2"/>
        </w:numPr>
        <w:shd w:val="clear" w:color="auto" w:fill="auto"/>
        <w:tabs>
          <w:tab w:val="left" w:pos="562"/>
        </w:tabs>
        <w:spacing w:line="305" w:lineRule="auto"/>
      </w:pPr>
      <w:r>
        <w:t>Případné vzájemné s</w:t>
      </w:r>
      <w:r>
        <w:t>pory mezi Prvním příjemcem a Druhým příjemcem ohledně vzájemného vypořádání nemají vliv na platnost a účinnost postoupení dle této smlouvy; První příjemce ani Druhý příjemce zejména nejsou z těchto důvodů oprávnění od této smlouvy odstoupit. Ustanovení pře</w:t>
      </w:r>
      <w:r>
        <w:t>dchozí věty se týká i vzájemného vypořádání mezi Prvním příjemcem a Druhým příjemcem po stránce daňové / účetní (zejména za předpokladu, že Poskytovatel již na počátku leasingu fakturoval Prvnímu příjemci, dle příslušných právních předpisů týkajících se DP</w:t>
      </w:r>
      <w:r>
        <w:t>H, součet všech leasingových splátek, případně dalších plateb dle Smlouvy). Poskytovatel nijak neodpovídá ani Prvnímu příjemci, ani Druhému příjemci, za správnost daňového / účetního řešení ani na straně Prvního příjemce, ani na straně Druhého příjemce; pr</w:t>
      </w:r>
      <w:r>
        <w:t xml:space="preserve">o vyloučení pochybností se sjednává, že Poskytovatel není povinen v souvislosti 5 touto smlouvou žádné daňové doklady, které dosud na základě Smlouvy (Či v souvislosti s ní) vystavil, rušit, dobropisovat, měnit apod., ani není povinen vystavovat jakékoliv </w:t>
      </w:r>
      <w:r>
        <w:t>daňové doklady nové (např. na Druhého příjemce), ledaže by mu taková povinnost vyplývala z obecně závazných právních předpisů.</w:t>
      </w:r>
    </w:p>
    <w:p w:rsidR="009B32C2" w:rsidRDefault="004B3D67">
      <w:pPr>
        <w:pStyle w:val="Titulektabulky0"/>
        <w:framePr w:w="9716" w:h="446" w:hRule="exact" w:wrap="none" w:vAnchor="page" w:hAnchor="page" w:x="1041" w:y="12269"/>
        <w:shd w:val="clear" w:color="auto" w:fill="auto"/>
        <w:spacing w:line="286" w:lineRule="auto"/>
        <w:ind w:left="10" w:right="11"/>
        <w:jc w:val="both"/>
        <w:rPr>
          <w:sz w:val="16"/>
          <w:szCs w:val="16"/>
        </w:rPr>
      </w:pPr>
      <w:r>
        <w:rPr>
          <w:b/>
          <w:bCs/>
          <w:sz w:val="16"/>
          <w:szCs w:val="16"/>
        </w:rPr>
        <w:t>111. Pohledávky po splatnosti</w:t>
      </w:r>
    </w:p>
    <w:p w:rsidR="009B32C2" w:rsidRDefault="004B3D67">
      <w:pPr>
        <w:pStyle w:val="Titulektabulky0"/>
        <w:framePr w:w="9716" w:h="446" w:hRule="exact" w:wrap="none" w:vAnchor="page" w:hAnchor="page" w:x="1041" w:y="12269"/>
        <w:shd w:val="clear" w:color="auto" w:fill="auto"/>
        <w:spacing w:line="286" w:lineRule="auto"/>
        <w:ind w:left="10" w:right="11"/>
        <w:jc w:val="both"/>
      </w:pPr>
      <w:r>
        <w:rPr>
          <w:b/>
          <w:bCs/>
          <w:sz w:val="16"/>
          <w:szCs w:val="16"/>
        </w:rPr>
        <w:t xml:space="preserve">111.1. </w:t>
      </w:r>
      <w:r>
        <w:t>První příjemce dluží Poskytovateli ke dni podpisu této smlouvy Poskytovatelem níže uvedené p</w:t>
      </w:r>
      <w:r>
        <w:t>ohledávky Poskytovatele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44"/>
        <w:gridCol w:w="1760"/>
        <w:gridCol w:w="1246"/>
        <w:gridCol w:w="1480"/>
        <w:gridCol w:w="1476"/>
        <w:gridCol w:w="2174"/>
      </w:tblGrid>
      <w:tr w:rsidR="009B32C2">
        <w:tblPrEx>
          <w:tblCellMar>
            <w:top w:w="0" w:type="dxa"/>
            <w:bottom w:w="0" w:type="dxa"/>
          </w:tblCellMar>
        </w:tblPrEx>
        <w:trPr>
          <w:trHeight w:hRule="exact" w:val="288"/>
        </w:trPr>
        <w:tc>
          <w:tcPr>
            <w:tcW w:w="3304" w:type="dxa"/>
            <w:gridSpan w:val="2"/>
            <w:shd w:val="clear" w:color="auto" w:fill="FFFFFF"/>
          </w:tcPr>
          <w:p w:rsidR="009B32C2" w:rsidRDefault="004B3D67">
            <w:pPr>
              <w:pStyle w:val="Jin0"/>
              <w:framePr w:w="9680" w:h="1001" w:wrap="none" w:vAnchor="page" w:hAnchor="page" w:x="1073" w:y="12676"/>
              <w:shd w:val="clear" w:color="auto" w:fill="auto"/>
              <w:spacing w:line="240" w:lineRule="auto"/>
            </w:pPr>
            <w:r>
              <w:t xml:space="preserve">po splatnosti, jež se zavazuje uhradit </w:t>
            </w:r>
            <w:proofErr w:type="spellStart"/>
            <w:r>
              <w:t>nejpozdě</w:t>
            </w:r>
            <w:proofErr w:type="spellEnd"/>
          </w:p>
        </w:tc>
        <w:tc>
          <w:tcPr>
            <w:tcW w:w="6376" w:type="dxa"/>
            <w:gridSpan w:val="4"/>
            <w:tcBorders>
              <w:left w:val="single" w:sz="4" w:space="0" w:color="auto"/>
            </w:tcBorders>
            <w:shd w:val="clear" w:color="auto" w:fill="FFFFFF"/>
          </w:tcPr>
          <w:p w:rsidR="009B32C2" w:rsidRDefault="004B3D67">
            <w:pPr>
              <w:pStyle w:val="Jin0"/>
              <w:framePr w:w="9680" w:h="1001" w:wrap="none" w:vAnchor="page" w:hAnchor="page" w:x="1073" w:y="12676"/>
              <w:shd w:val="clear" w:color="auto" w:fill="auto"/>
              <w:spacing w:line="240" w:lineRule="auto"/>
            </w:pPr>
            <w:r>
              <w:t>i do nabytí účinnosti této smlouvy:</w:t>
            </w:r>
          </w:p>
        </w:tc>
      </w:tr>
      <w:tr w:rsidR="009B32C2">
        <w:tblPrEx>
          <w:tblCellMar>
            <w:top w:w="0" w:type="dxa"/>
            <w:bottom w:w="0" w:type="dxa"/>
          </w:tblCellMar>
        </w:tblPrEx>
        <w:trPr>
          <w:trHeight w:hRule="exact" w:val="446"/>
        </w:trPr>
        <w:tc>
          <w:tcPr>
            <w:tcW w:w="1544" w:type="dxa"/>
            <w:tcBorders>
              <w:top w:val="single" w:sz="4" w:space="0" w:color="auto"/>
              <w:left w:val="single" w:sz="4" w:space="0" w:color="auto"/>
            </w:tcBorders>
            <w:shd w:val="clear" w:color="auto" w:fill="FFFFFF"/>
          </w:tcPr>
          <w:p w:rsidR="009B32C2" w:rsidRDefault="004B3D67">
            <w:pPr>
              <w:pStyle w:val="Jin0"/>
              <w:framePr w:w="9680" w:h="1001" w:wrap="none" w:vAnchor="page" w:hAnchor="page" w:x="1073" w:y="12676"/>
              <w:shd w:val="clear" w:color="auto" w:fill="auto"/>
              <w:spacing w:line="240" w:lineRule="auto"/>
              <w:ind w:firstLine="460"/>
              <w:rPr>
                <w:sz w:val="16"/>
                <w:szCs w:val="16"/>
              </w:rPr>
            </w:pPr>
            <w:r>
              <w:rPr>
                <w:b/>
                <w:bCs/>
                <w:sz w:val="16"/>
                <w:szCs w:val="16"/>
              </w:rPr>
              <w:t xml:space="preserve">var. </w:t>
            </w:r>
            <w:proofErr w:type="gramStart"/>
            <w:r>
              <w:rPr>
                <w:b/>
                <w:bCs/>
                <w:sz w:val="16"/>
                <w:szCs w:val="16"/>
              </w:rPr>
              <w:t>symbol</w:t>
            </w:r>
            <w:proofErr w:type="gramEnd"/>
          </w:p>
        </w:tc>
        <w:tc>
          <w:tcPr>
            <w:tcW w:w="1760" w:type="dxa"/>
            <w:tcBorders>
              <w:top w:val="single" w:sz="4" w:space="0" w:color="auto"/>
              <w:left w:val="single" w:sz="4" w:space="0" w:color="auto"/>
            </w:tcBorders>
            <w:shd w:val="clear" w:color="auto" w:fill="FFFFFF"/>
          </w:tcPr>
          <w:p w:rsidR="009B32C2" w:rsidRDefault="004B3D67">
            <w:pPr>
              <w:pStyle w:val="Jin0"/>
              <w:framePr w:w="9680" w:h="1001" w:wrap="none" w:vAnchor="page" w:hAnchor="page" w:x="1073" w:y="12676"/>
              <w:shd w:val="clear" w:color="auto" w:fill="auto"/>
              <w:spacing w:line="240" w:lineRule="auto"/>
              <w:ind w:firstLine="460"/>
              <w:rPr>
                <w:sz w:val="16"/>
                <w:szCs w:val="16"/>
              </w:rPr>
            </w:pPr>
            <w:r>
              <w:rPr>
                <w:b/>
                <w:bCs/>
                <w:sz w:val="16"/>
                <w:szCs w:val="16"/>
              </w:rPr>
              <w:t xml:space="preserve">daň. </w:t>
            </w:r>
            <w:proofErr w:type="gramStart"/>
            <w:r>
              <w:rPr>
                <w:b/>
                <w:bCs/>
                <w:sz w:val="16"/>
                <w:szCs w:val="16"/>
              </w:rPr>
              <w:t>doklad</w:t>
            </w:r>
            <w:proofErr w:type="gramEnd"/>
            <w:r>
              <w:rPr>
                <w:b/>
                <w:bCs/>
                <w:sz w:val="16"/>
                <w:szCs w:val="16"/>
              </w:rPr>
              <w:t xml:space="preserve"> Č.</w:t>
            </w:r>
          </w:p>
        </w:tc>
        <w:tc>
          <w:tcPr>
            <w:tcW w:w="1246" w:type="dxa"/>
            <w:tcBorders>
              <w:top w:val="single" w:sz="4" w:space="0" w:color="auto"/>
              <w:left w:val="single" w:sz="4" w:space="0" w:color="auto"/>
            </w:tcBorders>
            <w:shd w:val="clear" w:color="auto" w:fill="FFFFFF"/>
          </w:tcPr>
          <w:p w:rsidR="009B32C2" w:rsidRDefault="004B3D67">
            <w:pPr>
              <w:pStyle w:val="Jin0"/>
              <w:framePr w:w="9680" w:h="1001" w:wrap="none" w:vAnchor="page" w:hAnchor="page" w:x="1073" w:y="12676"/>
              <w:shd w:val="clear" w:color="auto" w:fill="auto"/>
              <w:spacing w:line="240" w:lineRule="auto"/>
              <w:jc w:val="right"/>
              <w:rPr>
                <w:sz w:val="16"/>
                <w:szCs w:val="16"/>
              </w:rPr>
            </w:pPr>
            <w:r>
              <w:rPr>
                <w:b/>
                <w:bCs/>
                <w:sz w:val="16"/>
                <w:szCs w:val="16"/>
              </w:rPr>
              <w:t>splatnost</w:t>
            </w:r>
          </w:p>
        </w:tc>
        <w:tc>
          <w:tcPr>
            <w:tcW w:w="1480" w:type="dxa"/>
            <w:tcBorders>
              <w:top w:val="single" w:sz="4" w:space="0" w:color="auto"/>
              <w:left w:val="single" w:sz="4" w:space="0" w:color="auto"/>
            </w:tcBorders>
            <w:shd w:val="clear" w:color="auto" w:fill="FFFFFF"/>
            <w:vAlign w:val="bottom"/>
          </w:tcPr>
          <w:p w:rsidR="009B32C2" w:rsidRDefault="004B3D67">
            <w:pPr>
              <w:pStyle w:val="Jin0"/>
              <w:framePr w:w="9680" w:h="1001" w:wrap="none" w:vAnchor="page" w:hAnchor="page" w:x="1073" w:y="12676"/>
              <w:shd w:val="clear" w:color="auto" w:fill="auto"/>
              <w:spacing w:line="295" w:lineRule="auto"/>
              <w:jc w:val="center"/>
              <w:rPr>
                <w:sz w:val="16"/>
                <w:szCs w:val="16"/>
              </w:rPr>
            </w:pPr>
            <w:r>
              <w:rPr>
                <w:b/>
                <w:bCs/>
                <w:sz w:val="16"/>
                <w:szCs w:val="16"/>
              </w:rPr>
              <w:t>celkem k úhradě</w:t>
            </w:r>
          </w:p>
        </w:tc>
        <w:tc>
          <w:tcPr>
            <w:tcW w:w="1476" w:type="dxa"/>
            <w:tcBorders>
              <w:top w:val="single" w:sz="4" w:space="0" w:color="auto"/>
              <w:left w:val="single" w:sz="4" w:space="0" w:color="auto"/>
            </w:tcBorders>
            <w:shd w:val="clear" w:color="auto" w:fill="FFFFFF"/>
            <w:vAlign w:val="bottom"/>
          </w:tcPr>
          <w:p w:rsidR="009B32C2" w:rsidRDefault="004B3D67">
            <w:pPr>
              <w:pStyle w:val="Jin0"/>
              <w:framePr w:w="9680" w:h="1001" w:wrap="none" w:vAnchor="page" w:hAnchor="page" w:x="1073" w:y="12676"/>
              <w:shd w:val="clear" w:color="auto" w:fill="auto"/>
              <w:spacing w:line="290" w:lineRule="auto"/>
              <w:jc w:val="right"/>
              <w:rPr>
                <w:sz w:val="16"/>
                <w:szCs w:val="16"/>
              </w:rPr>
            </w:pPr>
            <w:r>
              <w:rPr>
                <w:b/>
                <w:bCs/>
                <w:sz w:val="16"/>
                <w:szCs w:val="16"/>
              </w:rPr>
              <w:t>z toho zaplaceno</w:t>
            </w:r>
          </w:p>
        </w:tc>
        <w:tc>
          <w:tcPr>
            <w:tcW w:w="2174" w:type="dxa"/>
            <w:tcBorders>
              <w:top w:val="single" w:sz="4" w:space="0" w:color="auto"/>
              <w:left w:val="single" w:sz="4" w:space="0" w:color="auto"/>
              <w:right w:val="single" w:sz="4" w:space="0" w:color="auto"/>
            </w:tcBorders>
            <w:shd w:val="clear" w:color="auto" w:fill="FFFFFF"/>
          </w:tcPr>
          <w:p w:rsidR="009B32C2" w:rsidRDefault="004B3D67">
            <w:pPr>
              <w:pStyle w:val="Jin0"/>
              <w:framePr w:w="9680" w:h="1001" w:wrap="none" w:vAnchor="page" w:hAnchor="page" w:x="1073" w:y="12676"/>
              <w:shd w:val="clear" w:color="auto" w:fill="auto"/>
              <w:spacing w:line="240" w:lineRule="auto"/>
              <w:jc w:val="right"/>
              <w:rPr>
                <w:sz w:val="16"/>
                <w:szCs w:val="16"/>
              </w:rPr>
            </w:pPr>
            <w:r>
              <w:rPr>
                <w:b/>
                <w:bCs/>
                <w:sz w:val="16"/>
                <w:szCs w:val="16"/>
              </w:rPr>
              <w:t>zbývá k úhradě</w:t>
            </w:r>
          </w:p>
        </w:tc>
      </w:tr>
      <w:tr w:rsidR="009B32C2">
        <w:tblPrEx>
          <w:tblCellMar>
            <w:top w:w="0" w:type="dxa"/>
            <w:bottom w:w="0" w:type="dxa"/>
          </w:tblCellMar>
        </w:tblPrEx>
        <w:trPr>
          <w:trHeight w:hRule="exact" w:val="266"/>
        </w:trPr>
        <w:tc>
          <w:tcPr>
            <w:tcW w:w="7506" w:type="dxa"/>
            <w:gridSpan w:val="5"/>
            <w:tcBorders>
              <w:top w:val="single" w:sz="4" w:space="0" w:color="auto"/>
              <w:left w:val="single" w:sz="4" w:space="0" w:color="auto"/>
              <w:bottom w:val="single" w:sz="4" w:space="0" w:color="auto"/>
            </w:tcBorders>
            <w:shd w:val="clear" w:color="auto" w:fill="FFFFFF"/>
          </w:tcPr>
          <w:p w:rsidR="009B32C2" w:rsidRDefault="004B3D67">
            <w:pPr>
              <w:pStyle w:val="Jin0"/>
              <w:framePr w:w="9680" w:h="1001" w:wrap="none" w:vAnchor="page" w:hAnchor="page" w:x="1073" w:y="12676"/>
              <w:shd w:val="clear" w:color="auto" w:fill="auto"/>
              <w:spacing w:line="240" w:lineRule="auto"/>
              <w:rPr>
                <w:sz w:val="16"/>
                <w:szCs w:val="16"/>
              </w:rPr>
            </w:pPr>
            <w:r>
              <w:rPr>
                <w:b/>
                <w:bCs/>
                <w:sz w:val="16"/>
                <w:szCs w:val="16"/>
              </w:rPr>
              <w:t>Dluhy po splatnosti celkem</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9B32C2" w:rsidRDefault="004B3D67">
            <w:pPr>
              <w:pStyle w:val="Jin0"/>
              <w:framePr w:w="9680" w:h="1001" w:wrap="none" w:vAnchor="page" w:hAnchor="page" w:x="1073" w:y="12676"/>
              <w:shd w:val="clear" w:color="auto" w:fill="auto"/>
              <w:spacing w:line="240" w:lineRule="auto"/>
              <w:jc w:val="right"/>
              <w:rPr>
                <w:sz w:val="16"/>
                <w:szCs w:val="16"/>
              </w:rPr>
            </w:pPr>
            <w:r>
              <w:rPr>
                <w:b/>
                <w:bCs/>
                <w:sz w:val="16"/>
                <w:szCs w:val="16"/>
              </w:rPr>
              <w:t>0,00 Kč</w:t>
            </w:r>
          </w:p>
        </w:tc>
      </w:tr>
    </w:tbl>
    <w:p w:rsidR="009B32C2" w:rsidRDefault="004B3D67">
      <w:pPr>
        <w:pStyle w:val="Titulektabulky0"/>
        <w:framePr w:w="9418" w:h="493" w:hRule="exact" w:wrap="none" w:vAnchor="page" w:hAnchor="page" w:x="1048" w:y="13731"/>
        <w:shd w:val="clear" w:color="auto" w:fill="auto"/>
        <w:spacing w:line="300" w:lineRule="auto"/>
      </w:pPr>
      <w:r>
        <w:rPr>
          <w:b/>
          <w:bCs/>
          <w:sz w:val="16"/>
          <w:szCs w:val="16"/>
        </w:rPr>
        <w:t xml:space="preserve">111.2. </w:t>
      </w:r>
      <w:r>
        <w:t xml:space="preserve">První příjemce </w:t>
      </w:r>
      <w:r>
        <w:t>dále dluží Poskytovateli ke dni podpisu této smlouvy Poskytovatelem níže uvedené pohledávky, jež se zavazuje uhradit nejpozději do data splatnosti uvedeného na příslušných daňových dokladech:</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41"/>
        <w:gridCol w:w="1760"/>
        <w:gridCol w:w="1246"/>
        <w:gridCol w:w="1480"/>
        <w:gridCol w:w="1472"/>
        <w:gridCol w:w="2178"/>
      </w:tblGrid>
      <w:tr w:rsidR="009B32C2">
        <w:tblPrEx>
          <w:tblCellMar>
            <w:top w:w="0" w:type="dxa"/>
            <w:bottom w:w="0" w:type="dxa"/>
          </w:tblCellMar>
        </w:tblPrEx>
        <w:trPr>
          <w:trHeight w:hRule="exact" w:val="464"/>
        </w:trPr>
        <w:tc>
          <w:tcPr>
            <w:tcW w:w="1541" w:type="dxa"/>
            <w:tcBorders>
              <w:top w:val="single" w:sz="4" w:space="0" w:color="auto"/>
              <w:left w:val="single" w:sz="4" w:space="0" w:color="auto"/>
            </w:tcBorders>
            <w:shd w:val="clear" w:color="auto" w:fill="FFFFFF"/>
          </w:tcPr>
          <w:p w:rsidR="009B32C2" w:rsidRDefault="004B3D67">
            <w:pPr>
              <w:pStyle w:val="Jin0"/>
              <w:framePr w:w="9677" w:h="713" w:wrap="none" w:vAnchor="page" w:hAnchor="page" w:x="1080" w:y="14228"/>
              <w:shd w:val="clear" w:color="auto" w:fill="auto"/>
              <w:spacing w:line="240" w:lineRule="auto"/>
              <w:ind w:firstLine="460"/>
              <w:rPr>
                <w:sz w:val="16"/>
                <w:szCs w:val="16"/>
              </w:rPr>
            </w:pPr>
            <w:r>
              <w:rPr>
                <w:b/>
                <w:bCs/>
                <w:sz w:val="16"/>
                <w:szCs w:val="16"/>
              </w:rPr>
              <w:t xml:space="preserve">var. </w:t>
            </w:r>
            <w:proofErr w:type="gramStart"/>
            <w:r>
              <w:rPr>
                <w:b/>
                <w:bCs/>
                <w:sz w:val="16"/>
                <w:szCs w:val="16"/>
              </w:rPr>
              <w:t>symbol</w:t>
            </w:r>
            <w:proofErr w:type="gramEnd"/>
          </w:p>
        </w:tc>
        <w:tc>
          <w:tcPr>
            <w:tcW w:w="1760" w:type="dxa"/>
            <w:tcBorders>
              <w:top w:val="single" w:sz="4" w:space="0" w:color="auto"/>
              <w:left w:val="single" w:sz="4" w:space="0" w:color="auto"/>
            </w:tcBorders>
            <w:shd w:val="clear" w:color="auto" w:fill="FFFFFF"/>
          </w:tcPr>
          <w:p w:rsidR="009B32C2" w:rsidRDefault="004B3D67">
            <w:pPr>
              <w:pStyle w:val="Jin0"/>
              <w:framePr w:w="9677" w:h="713" w:wrap="none" w:vAnchor="page" w:hAnchor="page" w:x="1080" w:y="14228"/>
              <w:shd w:val="clear" w:color="auto" w:fill="auto"/>
              <w:spacing w:line="240" w:lineRule="auto"/>
              <w:ind w:firstLine="460"/>
              <w:rPr>
                <w:sz w:val="16"/>
                <w:szCs w:val="16"/>
              </w:rPr>
            </w:pPr>
            <w:r>
              <w:rPr>
                <w:b/>
                <w:bCs/>
                <w:sz w:val="16"/>
                <w:szCs w:val="16"/>
              </w:rPr>
              <w:t xml:space="preserve">daň. </w:t>
            </w:r>
            <w:proofErr w:type="gramStart"/>
            <w:r>
              <w:rPr>
                <w:b/>
                <w:bCs/>
                <w:sz w:val="16"/>
                <w:szCs w:val="16"/>
              </w:rPr>
              <w:t>doklad</w:t>
            </w:r>
            <w:proofErr w:type="gramEnd"/>
            <w:r>
              <w:rPr>
                <w:b/>
                <w:bCs/>
                <w:sz w:val="16"/>
                <w:szCs w:val="16"/>
              </w:rPr>
              <w:t xml:space="preserve"> č.</w:t>
            </w:r>
          </w:p>
        </w:tc>
        <w:tc>
          <w:tcPr>
            <w:tcW w:w="1246" w:type="dxa"/>
            <w:tcBorders>
              <w:top w:val="single" w:sz="4" w:space="0" w:color="auto"/>
              <w:left w:val="single" w:sz="4" w:space="0" w:color="auto"/>
            </w:tcBorders>
            <w:shd w:val="clear" w:color="auto" w:fill="FFFFFF"/>
          </w:tcPr>
          <w:p w:rsidR="009B32C2" w:rsidRDefault="004B3D67">
            <w:pPr>
              <w:pStyle w:val="Jin0"/>
              <w:framePr w:w="9677" w:h="713" w:wrap="none" w:vAnchor="page" w:hAnchor="page" w:x="1080" w:y="14228"/>
              <w:shd w:val="clear" w:color="auto" w:fill="auto"/>
              <w:spacing w:line="240" w:lineRule="auto"/>
              <w:jc w:val="right"/>
              <w:rPr>
                <w:sz w:val="16"/>
                <w:szCs w:val="16"/>
              </w:rPr>
            </w:pPr>
            <w:r>
              <w:rPr>
                <w:b/>
                <w:bCs/>
                <w:sz w:val="16"/>
                <w:szCs w:val="16"/>
              </w:rPr>
              <w:t>splatnost</w:t>
            </w:r>
          </w:p>
        </w:tc>
        <w:tc>
          <w:tcPr>
            <w:tcW w:w="1480" w:type="dxa"/>
            <w:tcBorders>
              <w:top w:val="single" w:sz="4" w:space="0" w:color="auto"/>
              <w:left w:val="single" w:sz="4" w:space="0" w:color="auto"/>
            </w:tcBorders>
            <w:shd w:val="clear" w:color="auto" w:fill="FFFFFF"/>
            <w:vAlign w:val="bottom"/>
          </w:tcPr>
          <w:p w:rsidR="009B32C2" w:rsidRDefault="004B3D67">
            <w:pPr>
              <w:pStyle w:val="Jin0"/>
              <w:framePr w:w="9677" w:h="713" w:wrap="none" w:vAnchor="page" w:hAnchor="page" w:x="1080" w:y="14228"/>
              <w:shd w:val="clear" w:color="auto" w:fill="auto"/>
              <w:spacing w:line="290" w:lineRule="auto"/>
              <w:jc w:val="center"/>
              <w:rPr>
                <w:sz w:val="16"/>
                <w:szCs w:val="16"/>
              </w:rPr>
            </w:pPr>
            <w:r>
              <w:rPr>
                <w:b/>
                <w:bCs/>
                <w:sz w:val="16"/>
                <w:szCs w:val="16"/>
              </w:rPr>
              <w:t>celkem k úhradě</w:t>
            </w:r>
          </w:p>
        </w:tc>
        <w:tc>
          <w:tcPr>
            <w:tcW w:w="1472" w:type="dxa"/>
            <w:tcBorders>
              <w:top w:val="single" w:sz="4" w:space="0" w:color="auto"/>
              <w:left w:val="single" w:sz="4" w:space="0" w:color="auto"/>
            </w:tcBorders>
            <w:shd w:val="clear" w:color="auto" w:fill="FFFFFF"/>
            <w:vAlign w:val="bottom"/>
          </w:tcPr>
          <w:p w:rsidR="009B32C2" w:rsidRDefault="004B3D67">
            <w:pPr>
              <w:pStyle w:val="Jin0"/>
              <w:framePr w:w="9677" w:h="713" w:wrap="none" w:vAnchor="page" w:hAnchor="page" w:x="1080" w:y="14228"/>
              <w:shd w:val="clear" w:color="auto" w:fill="auto"/>
              <w:spacing w:line="283" w:lineRule="auto"/>
              <w:jc w:val="right"/>
              <w:rPr>
                <w:sz w:val="16"/>
                <w:szCs w:val="16"/>
              </w:rPr>
            </w:pPr>
            <w:r>
              <w:rPr>
                <w:b/>
                <w:bCs/>
                <w:sz w:val="16"/>
                <w:szCs w:val="16"/>
              </w:rPr>
              <w:t xml:space="preserve">z toho </w:t>
            </w:r>
            <w:r>
              <w:rPr>
                <w:b/>
                <w:bCs/>
                <w:sz w:val="16"/>
                <w:szCs w:val="16"/>
              </w:rPr>
              <w:t>zaplaceno</w:t>
            </w:r>
          </w:p>
        </w:tc>
        <w:tc>
          <w:tcPr>
            <w:tcW w:w="2178" w:type="dxa"/>
            <w:tcBorders>
              <w:top w:val="single" w:sz="4" w:space="0" w:color="auto"/>
              <w:left w:val="single" w:sz="4" w:space="0" w:color="auto"/>
              <w:right w:val="single" w:sz="4" w:space="0" w:color="auto"/>
            </w:tcBorders>
            <w:shd w:val="clear" w:color="auto" w:fill="FFFFFF"/>
          </w:tcPr>
          <w:p w:rsidR="009B32C2" w:rsidRDefault="004B3D67">
            <w:pPr>
              <w:pStyle w:val="Jin0"/>
              <w:framePr w:w="9677" w:h="713" w:wrap="none" w:vAnchor="page" w:hAnchor="page" w:x="1080" w:y="14228"/>
              <w:shd w:val="clear" w:color="auto" w:fill="auto"/>
              <w:spacing w:line="240" w:lineRule="auto"/>
              <w:jc w:val="right"/>
              <w:rPr>
                <w:sz w:val="16"/>
                <w:szCs w:val="16"/>
              </w:rPr>
            </w:pPr>
            <w:r>
              <w:rPr>
                <w:b/>
                <w:bCs/>
                <w:sz w:val="16"/>
                <w:szCs w:val="16"/>
              </w:rPr>
              <w:t>zbývá k úhradě</w:t>
            </w:r>
          </w:p>
        </w:tc>
      </w:tr>
      <w:tr w:rsidR="009B32C2">
        <w:tblPrEx>
          <w:tblCellMar>
            <w:top w:w="0" w:type="dxa"/>
            <w:bottom w:w="0" w:type="dxa"/>
          </w:tblCellMar>
        </w:tblPrEx>
        <w:trPr>
          <w:trHeight w:hRule="exact" w:val="248"/>
        </w:trPr>
        <w:tc>
          <w:tcPr>
            <w:tcW w:w="7499" w:type="dxa"/>
            <w:gridSpan w:val="5"/>
            <w:tcBorders>
              <w:top w:val="single" w:sz="4" w:space="0" w:color="auto"/>
              <w:left w:val="single" w:sz="4" w:space="0" w:color="auto"/>
              <w:bottom w:val="single" w:sz="4" w:space="0" w:color="auto"/>
            </w:tcBorders>
            <w:shd w:val="clear" w:color="auto" w:fill="FFFFFF"/>
            <w:vAlign w:val="bottom"/>
          </w:tcPr>
          <w:p w:rsidR="009B32C2" w:rsidRDefault="004B3D67">
            <w:pPr>
              <w:pStyle w:val="Jin0"/>
              <w:framePr w:w="9677" w:h="713" w:wrap="none" w:vAnchor="page" w:hAnchor="page" w:x="1080" w:y="14228"/>
              <w:shd w:val="clear" w:color="auto" w:fill="auto"/>
              <w:spacing w:line="240" w:lineRule="auto"/>
              <w:rPr>
                <w:sz w:val="16"/>
                <w:szCs w:val="16"/>
              </w:rPr>
            </w:pPr>
            <w:r>
              <w:rPr>
                <w:b/>
                <w:bCs/>
                <w:sz w:val="16"/>
                <w:szCs w:val="16"/>
              </w:rPr>
              <w:t>Další dluhy Prvního příjemce celkem</w:t>
            </w:r>
          </w:p>
        </w:tc>
        <w:tc>
          <w:tcPr>
            <w:tcW w:w="2178" w:type="dxa"/>
            <w:tcBorders>
              <w:top w:val="single" w:sz="4" w:space="0" w:color="auto"/>
              <w:left w:val="single" w:sz="4" w:space="0" w:color="auto"/>
              <w:bottom w:val="single" w:sz="4" w:space="0" w:color="auto"/>
              <w:right w:val="single" w:sz="4" w:space="0" w:color="auto"/>
            </w:tcBorders>
            <w:shd w:val="clear" w:color="auto" w:fill="FFFFFF"/>
            <w:vAlign w:val="bottom"/>
          </w:tcPr>
          <w:p w:rsidR="009B32C2" w:rsidRDefault="004B3D67">
            <w:pPr>
              <w:pStyle w:val="Jin0"/>
              <w:framePr w:w="9677" w:h="713" w:wrap="none" w:vAnchor="page" w:hAnchor="page" w:x="1080" w:y="14228"/>
              <w:shd w:val="clear" w:color="auto" w:fill="auto"/>
              <w:spacing w:line="240" w:lineRule="auto"/>
              <w:jc w:val="right"/>
              <w:rPr>
                <w:sz w:val="16"/>
                <w:szCs w:val="16"/>
              </w:rPr>
            </w:pPr>
            <w:r>
              <w:rPr>
                <w:b/>
                <w:bCs/>
                <w:sz w:val="16"/>
                <w:szCs w:val="16"/>
              </w:rPr>
              <w:t>0,00 Kč</w:t>
            </w:r>
          </w:p>
        </w:tc>
      </w:tr>
    </w:tbl>
    <w:p w:rsidR="009B32C2" w:rsidRDefault="004B3D67">
      <w:pPr>
        <w:pStyle w:val="Zkladntext1"/>
        <w:framePr w:w="9734" w:h="914" w:hRule="exact" w:wrap="none" w:vAnchor="page" w:hAnchor="page" w:x="1037" w:y="15283"/>
        <w:shd w:val="clear" w:color="auto" w:fill="auto"/>
        <w:tabs>
          <w:tab w:val="left" w:pos="8269"/>
        </w:tabs>
        <w:spacing w:line="240" w:lineRule="auto"/>
      </w:pPr>
      <w:r>
        <w:t xml:space="preserve">Verze 083-03 platná </w:t>
      </w:r>
      <w:proofErr w:type="gramStart"/>
      <w:r>
        <w:t>od</w:t>
      </w:r>
      <w:proofErr w:type="gramEnd"/>
      <w:r>
        <w:t xml:space="preserve">: </w:t>
      </w:r>
      <w:proofErr w:type="gramStart"/>
      <w:r>
        <w:t>21.04.2020</w:t>
      </w:r>
      <w:proofErr w:type="gramEnd"/>
      <w:r>
        <w:tab/>
        <w:t>Strana 1 (celkem 3}</w:t>
      </w:r>
    </w:p>
    <w:p w:rsidR="009B32C2" w:rsidRDefault="004B3D67">
      <w:pPr>
        <w:pStyle w:val="Zkladntext1"/>
        <w:framePr w:w="9734" w:h="914" w:hRule="exact" w:wrap="none" w:vAnchor="page" w:hAnchor="page" w:x="1037" w:y="15283"/>
        <w:shd w:val="clear" w:color="auto" w:fill="auto"/>
        <w:spacing w:line="240" w:lineRule="auto"/>
      </w:pPr>
      <w:proofErr w:type="spellStart"/>
      <w:r>
        <w:rPr>
          <w:b/>
          <w:bCs/>
          <w:sz w:val="16"/>
          <w:szCs w:val="16"/>
        </w:rPr>
        <w:t>Raiffeisen</w:t>
      </w:r>
      <w:proofErr w:type="spellEnd"/>
      <w:r>
        <w:rPr>
          <w:b/>
          <w:bCs/>
          <w:sz w:val="16"/>
          <w:szCs w:val="16"/>
        </w:rPr>
        <w:t xml:space="preserve"> - Leasing, s.r.o. </w:t>
      </w:r>
      <w:r>
        <w:t>• sídlo Hvězdová 171ó/2b, 140 00 Praha 4 • 1Č 61467803 • DIČ CZÓ1467863</w:t>
      </w:r>
    </w:p>
    <w:p w:rsidR="009B32C2" w:rsidRDefault="004B3D67">
      <w:pPr>
        <w:pStyle w:val="Zkladntext1"/>
        <w:framePr w:w="9734" w:h="914" w:hRule="exact" w:wrap="none" w:vAnchor="page" w:hAnchor="page" w:x="1037" w:y="15283"/>
        <w:numPr>
          <w:ilvl w:val="0"/>
          <w:numId w:val="3"/>
        </w:numPr>
        <w:shd w:val="clear" w:color="auto" w:fill="auto"/>
        <w:tabs>
          <w:tab w:val="left" w:pos="198"/>
        </w:tabs>
        <w:spacing w:line="240" w:lineRule="auto"/>
      </w:pPr>
      <w:r>
        <w:t>zapsaná v obchodním rejstříku</w:t>
      </w:r>
      <w:r>
        <w:t xml:space="preserve"> vedeném Městským soudem v Praze, oddíl C, vložka 29553</w:t>
      </w:r>
    </w:p>
    <w:p w:rsidR="009B32C2" w:rsidRDefault="004B3D67">
      <w:pPr>
        <w:pStyle w:val="Zkladntext1"/>
        <w:framePr w:w="9734" w:h="914" w:hRule="exact" w:wrap="none" w:vAnchor="page" w:hAnchor="page" w:x="1037" w:y="15283"/>
        <w:numPr>
          <w:ilvl w:val="0"/>
          <w:numId w:val="3"/>
        </w:numPr>
        <w:shd w:val="clear" w:color="auto" w:fill="auto"/>
        <w:tabs>
          <w:tab w:val="left" w:pos="198"/>
        </w:tabs>
        <w:spacing w:line="240" w:lineRule="auto"/>
        <w:rPr>
          <w:sz w:val="16"/>
          <w:szCs w:val="16"/>
        </w:rPr>
      </w:pPr>
      <w:r>
        <w:t xml:space="preserve">telefon: +420 221 511 611 fax: +420 221 511 666 email: </w:t>
      </w:r>
      <w:hyperlink r:id="rId8" w:history="1">
        <w:r>
          <w:rPr>
            <w:lang w:val="en-US" w:eastAsia="en-US" w:bidi="en-US"/>
          </w:rPr>
          <w:t>praha@rl.cz</w:t>
        </w:r>
      </w:hyperlink>
      <w:r>
        <w:rPr>
          <w:lang w:val="en-US" w:eastAsia="en-US" w:bidi="en-US"/>
        </w:rPr>
        <w:t xml:space="preserve"> </w:t>
      </w:r>
      <w:hyperlink r:id="rId9" w:history="1">
        <w:r>
          <w:rPr>
            <w:b/>
            <w:bCs/>
            <w:sz w:val="16"/>
            <w:szCs w:val="16"/>
            <w:lang w:val="en-US" w:eastAsia="en-US" w:bidi="en-US"/>
          </w:rPr>
          <w:t>http://www.rl.cz</w:t>
        </w:r>
      </w:hyperlink>
    </w:p>
    <w:p w:rsidR="009B32C2" w:rsidRDefault="009B32C2">
      <w:pPr>
        <w:spacing w:line="1" w:lineRule="exact"/>
        <w:sectPr w:rsidR="009B32C2">
          <w:pgSz w:w="11900" w:h="16840"/>
          <w:pgMar w:top="360" w:right="360" w:bottom="360" w:left="360" w:header="0" w:footer="3" w:gutter="0"/>
          <w:cols w:space="720"/>
          <w:noEndnote/>
          <w:docGrid w:linePitch="360"/>
        </w:sectPr>
      </w:pPr>
    </w:p>
    <w:p w:rsidR="009B32C2" w:rsidRDefault="009B32C2">
      <w:pPr>
        <w:spacing w:line="1" w:lineRule="exact"/>
      </w:pPr>
    </w:p>
    <w:p w:rsidR="009B32C2" w:rsidRDefault="004B3D67">
      <w:pPr>
        <w:framePr w:wrap="none" w:vAnchor="page" w:hAnchor="page" w:x="9138" w:y="921"/>
        <w:rPr>
          <w:sz w:val="2"/>
          <w:szCs w:val="2"/>
        </w:rPr>
      </w:pPr>
      <w:r>
        <w:rPr>
          <w:noProof/>
          <w:lang w:bidi="ar-SA"/>
        </w:rPr>
        <w:drawing>
          <wp:inline distT="0" distB="0" distL="0" distR="0">
            <wp:extent cx="255905" cy="25019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pic:blipFill>
                  <pic:spPr>
                    <a:xfrm>
                      <a:off x="0" y="0"/>
                      <a:ext cx="255905" cy="250190"/>
                    </a:xfrm>
                    <a:prstGeom prst="rect">
                      <a:avLst/>
                    </a:prstGeom>
                  </pic:spPr>
                </pic:pic>
              </a:graphicData>
            </a:graphic>
          </wp:inline>
        </w:drawing>
      </w:r>
    </w:p>
    <w:p w:rsidR="009B32C2" w:rsidRDefault="004B3D67">
      <w:pPr>
        <w:pStyle w:val="Nadpis10"/>
        <w:framePr w:w="1238" w:h="533" w:hRule="exact" w:wrap="none" w:vAnchor="page" w:hAnchor="page" w:x="9573" w:y="853"/>
        <w:shd w:val="clear" w:color="auto" w:fill="auto"/>
        <w:jc w:val="both"/>
      </w:pPr>
      <w:bookmarkStart w:id="4" w:name="bookmark6"/>
      <w:bookmarkStart w:id="5" w:name="bookmark7"/>
      <w:proofErr w:type="spellStart"/>
      <w:r>
        <w:t>Raiffeísen</w:t>
      </w:r>
      <w:proofErr w:type="spellEnd"/>
      <w:r>
        <w:t xml:space="preserve"> </w:t>
      </w:r>
      <w:r>
        <w:rPr>
          <w:i/>
          <w:iCs/>
        </w:rPr>
        <w:t>LEASING</w:t>
      </w:r>
      <w:bookmarkEnd w:id="4"/>
      <w:bookmarkEnd w:id="5"/>
    </w:p>
    <w:p w:rsidR="009B32C2" w:rsidRDefault="004B3D67">
      <w:pPr>
        <w:pStyle w:val="Zkladntext1"/>
        <w:framePr w:w="9706" w:h="1141" w:hRule="exact" w:wrap="none" w:vAnchor="page" w:hAnchor="page" w:x="1106" w:y="1461"/>
        <w:shd w:val="clear" w:color="auto" w:fill="auto"/>
      </w:pPr>
      <w:r>
        <w:rPr>
          <w:b/>
          <w:bCs/>
          <w:sz w:val="16"/>
          <w:szCs w:val="16"/>
        </w:rPr>
        <w:t xml:space="preserve">II 1.3. </w:t>
      </w:r>
      <w:r>
        <w:t>Nezaplatí-li První příjemce řádně a včas Poskytovateli veškeré své výše uvedené dluhy, převádí se touto smlouvou povinnost je uhradit na Druhého příjemce, který se je pro ten případ zavazuje uhradit do dvaceti (20) dnů ode dne nabytí účinnosti této</w:t>
      </w:r>
      <w:r>
        <w:t xml:space="preserve"> smlouvy. První příjemce pro ten případ zároveň prohlašuje a zavazuje se Poskytovateli, že Poskytovatele uspokojí, tedy že uvedené dluhy Poskytovateli uhradí, pokud je ve lhůtě dle předchozí věty neuhradí Druhý příjemce; Poskytovatel toto ručení, resp. Prv</w:t>
      </w:r>
      <w:r>
        <w:t>ního příjemce jako ručitele přijímá.</w:t>
      </w:r>
    </w:p>
    <w:p w:rsidR="009B32C2" w:rsidRDefault="004B3D67">
      <w:pPr>
        <w:pStyle w:val="Nadpis20"/>
        <w:framePr w:w="9706" w:h="925" w:hRule="exact" w:wrap="none" w:vAnchor="page" w:hAnchor="page" w:x="1106" w:y="2786"/>
        <w:numPr>
          <w:ilvl w:val="0"/>
          <w:numId w:val="4"/>
        </w:numPr>
        <w:shd w:val="clear" w:color="auto" w:fill="auto"/>
        <w:tabs>
          <w:tab w:val="left" w:pos="572"/>
        </w:tabs>
        <w:spacing w:line="283" w:lineRule="auto"/>
      </w:pPr>
      <w:bookmarkStart w:id="6" w:name="bookmark8"/>
      <w:bookmarkStart w:id="7" w:name="bookmark9"/>
      <w:r>
        <w:t>Pojištění</w:t>
      </w:r>
      <w:bookmarkEnd w:id="6"/>
      <w:bookmarkEnd w:id="7"/>
    </w:p>
    <w:p w:rsidR="009B32C2" w:rsidRDefault="004B3D67">
      <w:pPr>
        <w:pStyle w:val="Zkladntext1"/>
        <w:framePr w:w="9706" w:h="925" w:hRule="exact" w:wrap="none" w:vAnchor="page" w:hAnchor="page" w:x="1106" w:y="2786"/>
        <w:shd w:val="clear" w:color="auto" w:fill="auto"/>
        <w:spacing w:line="298" w:lineRule="auto"/>
      </w:pPr>
      <w:r>
        <w:rPr>
          <w:b/>
          <w:bCs/>
          <w:sz w:val="16"/>
          <w:szCs w:val="16"/>
        </w:rPr>
        <w:t xml:space="preserve">IV. 1. Pojištění odpovědnosti za škodu způsobenou provozem vozidla - Předmětu: </w:t>
      </w:r>
      <w:r>
        <w:t>Smluvní strany se dohodly, že pojištění Předmětu se po nabytí účinnosti smlouvy řídí příslušnými ustanoveními Smlouvy. Za rozhodný</w:t>
      </w:r>
      <w:r>
        <w:t xml:space="preserve"> okamžik pro počátek pojištění, které se již týká Druhého příjemce, je nabytí účinnosti této smlouvy.</w:t>
      </w:r>
    </w:p>
    <w:p w:rsidR="009B32C2" w:rsidRDefault="004B3D67">
      <w:pPr>
        <w:pStyle w:val="Zkladntext1"/>
        <w:framePr w:w="9706" w:h="713" w:hRule="exact" w:wrap="none" w:vAnchor="page" w:hAnchor="page" w:x="1106" w:y="3733"/>
        <w:shd w:val="clear" w:color="auto" w:fill="auto"/>
      </w:pPr>
      <w:proofErr w:type="gramStart"/>
      <w:r>
        <w:rPr>
          <w:b/>
          <w:bCs/>
          <w:sz w:val="16"/>
          <w:szCs w:val="16"/>
        </w:rPr>
        <w:t>IV.2.</w:t>
      </w:r>
      <w:proofErr w:type="gramEnd"/>
      <w:r>
        <w:rPr>
          <w:b/>
          <w:bCs/>
          <w:sz w:val="16"/>
          <w:szCs w:val="16"/>
        </w:rPr>
        <w:t xml:space="preserve"> Ostatní pojištění Předmětu: </w:t>
      </w:r>
      <w:r>
        <w:t>Smluvní strany se dohodly, že pojištění Předmětu včetně případné vinkulace pojistného plnění po nabytí účinnosti této sm</w:t>
      </w:r>
      <w:r>
        <w:t>louvy se řídí příslušnými ustanoveními Smlouvy. Za rozhodný okamžik pro počátek pojištění, které se již týká Druhého příjemce, je nabytí účinnosti této smlouvy.</w:t>
      </w:r>
    </w:p>
    <w:p w:rsidR="009B32C2" w:rsidRDefault="004B3D67">
      <w:pPr>
        <w:pStyle w:val="Nadpis20"/>
        <w:framePr w:w="9706" w:h="3769" w:hRule="exact" w:wrap="none" w:vAnchor="page" w:hAnchor="page" w:x="1106" w:y="4514"/>
        <w:numPr>
          <w:ilvl w:val="0"/>
          <w:numId w:val="4"/>
        </w:numPr>
        <w:shd w:val="clear" w:color="auto" w:fill="auto"/>
        <w:tabs>
          <w:tab w:val="left" w:pos="572"/>
        </w:tabs>
      </w:pPr>
      <w:bookmarkStart w:id="8" w:name="bookmark10"/>
      <w:bookmarkStart w:id="9" w:name="bookmark11"/>
      <w:r>
        <w:t>Předání Předmětu a dokladů</w:t>
      </w:r>
      <w:bookmarkEnd w:id="8"/>
      <w:bookmarkEnd w:id="9"/>
    </w:p>
    <w:p w:rsidR="009B32C2" w:rsidRDefault="004B3D67">
      <w:pPr>
        <w:pStyle w:val="Zkladntext1"/>
        <w:framePr w:w="9706" w:h="3769" w:hRule="exact" w:wrap="none" w:vAnchor="page" w:hAnchor="page" w:x="1106" w:y="4514"/>
        <w:shd w:val="clear" w:color="auto" w:fill="auto"/>
      </w:pPr>
      <w:proofErr w:type="spellStart"/>
      <w:proofErr w:type="gramStart"/>
      <w:r>
        <w:rPr>
          <w:b/>
          <w:bCs/>
          <w:sz w:val="16"/>
          <w:szCs w:val="16"/>
        </w:rPr>
        <w:t>V.l</w:t>
      </w:r>
      <w:proofErr w:type="spellEnd"/>
      <w:r>
        <w:rPr>
          <w:b/>
          <w:bCs/>
          <w:sz w:val="16"/>
          <w:szCs w:val="16"/>
        </w:rPr>
        <w:t>.</w:t>
      </w:r>
      <w:proofErr w:type="gramEnd"/>
      <w:r>
        <w:rPr>
          <w:b/>
          <w:bCs/>
          <w:sz w:val="16"/>
          <w:szCs w:val="16"/>
        </w:rPr>
        <w:t xml:space="preserve"> </w:t>
      </w:r>
      <w:r>
        <w:t>První příjemce je povinen předat Druhému příjemci Předmět nejpo</w:t>
      </w:r>
      <w:r>
        <w:t xml:space="preserve">zději do tří (3) dnů ode dne účinnosti této smlouvy. Současně s Předmětem je povinen První příjemce předat Druhému příjemci úplnou technickou dokumentací, veškeré doklady vztahující se k Předmětu, další příslušenství, které První příjemce původně převzal, </w:t>
      </w:r>
      <w:r>
        <w:t>a originál Smlouvy.</w:t>
      </w:r>
    </w:p>
    <w:p w:rsidR="009B32C2" w:rsidRDefault="004B3D67">
      <w:pPr>
        <w:pStyle w:val="Zkladntext1"/>
        <w:framePr w:w="9706" w:h="3769" w:hRule="exact" w:wrap="none" w:vAnchor="page" w:hAnchor="page" w:x="1106" w:y="4514"/>
        <w:shd w:val="clear" w:color="auto" w:fill="auto"/>
      </w:pPr>
      <w:proofErr w:type="gramStart"/>
      <w:r>
        <w:rPr>
          <w:b/>
          <w:bCs/>
          <w:sz w:val="16"/>
          <w:szCs w:val="16"/>
        </w:rPr>
        <w:t>V.2.</w:t>
      </w:r>
      <w:proofErr w:type="gramEnd"/>
      <w:r>
        <w:rPr>
          <w:b/>
          <w:bCs/>
          <w:sz w:val="16"/>
          <w:szCs w:val="16"/>
        </w:rPr>
        <w:t xml:space="preserve"> </w:t>
      </w:r>
      <w:r>
        <w:t>O předání a převzetí Předmětu, veškerých dokladů vztahujících se k Předmětu a dalšího příslušenství bude Prvním a Druhým příjemcem sepsán předávací protokol. Tento protokol bude sepsán ve třech vyhotoveních, jehož jeden řádně sepsa</w:t>
      </w:r>
      <w:r>
        <w:t>ný a Prvním a Druhým příjemcem podepsaný stejnopis se Druhý příjemce zavazuje doručit Poskytovateli neprodleně po předání a převzetí Předmětu. Tento protokol se po svém vyhotovení stává přílohou této smlouvy.</w:t>
      </w:r>
    </w:p>
    <w:p w:rsidR="009B32C2" w:rsidRDefault="004B3D67">
      <w:pPr>
        <w:pStyle w:val="Zkladntext1"/>
        <w:framePr w:w="9706" w:h="3769" w:hRule="exact" w:wrap="none" w:vAnchor="page" w:hAnchor="page" w:x="1106" w:y="4514"/>
        <w:shd w:val="clear" w:color="auto" w:fill="auto"/>
        <w:spacing w:line="302" w:lineRule="auto"/>
      </w:pPr>
      <w:proofErr w:type="gramStart"/>
      <w:r>
        <w:rPr>
          <w:b/>
          <w:bCs/>
          <w:sz w:val="16"/>
          <w:szCs w:val="16"/>
        </w:rPr>
        <w:t>V.3.</w:t>
      </w:r>
      <w:proofErr w:type="gramEnd"/>
      <w:r>
        <w:rPr>
          <w:b/>
          <w:bCs/>
          <w:sz w:val="16"/>
          <w:szCs w:val="16"/>
        </w:rPr>
        <w:t xml:space="preserve"> </w:t>
      </w:r>
      <w:r>
        <w:t xml:space="preserve">V případě, že První příjemce nepředá </w:t>
      </w:r>
      <w:r>
        <w:t>Druhému příjemci Předmět, veškeré doklady vztahující se k Předmětu a další příslušenství řádně a včas, je Druhý příjemce oprávněn a současně povinen na vlastní náklady Předmět, veškeré doklady vztahující se k Předmětu a další příslušenství Prvnímu příjemci</w:t>
      </w:r>
      <w:r>
        <w:t xml:space="preserve"> odebrat i proti jeho vůli sám nebo prostřednictvím třetí osoby, kterou k tomuto písemně zmocní. O tomto převzetí je Druhý příjemce povinen sepsat a podepsat protokol a tento doručit Poskytovateli neprodleně po převzetí Předmětu. Tento protokol se po svém </w:t>
      </w:r>
      <w:r>
        <w:t>vyhotovení stává přílohou této smlouvy.</w:t>
      </w:r>
    </w:p>
    <w:p w:rsidR="009B32C2" w:rsidRDefault="004B3D67">
      <w:pPr>
        <w:pStyle w:val="Zkladntext1"/>
        <w:framePr w:w="9706" w:h="3769" w:hRule="exact" w:wrap="none" w:vAnchor="page" w:hAnchor="page" w:x="1106" w:y="4514"/>
        <w:shd w:val="clear" w:color="auto" w:fill="auto"/>
        <w:spacing w:line="295" w:lineRule="auto"/>
      </w:pPr>
      <w:proofErr w:type="gramStart"/>
      <w:r>
        <w:rPr>
          <w:b/>
          <w:bCs/>
          <w:sz w:val="16"/>
          <w:szCs w:val="16"/>
        </w:rPr>
        <w:t>V.4.</w:t>
      </w:r>
      <w:proofErr w:type="gramEnd"/>
      <w:r>
        <w:rPr>
          <w:b/>
          <w:bCs/>
          <w:sz w:val="16"/>
          <w:szCs w:val="16"/>
        </w:rPr>
        <w:t xml:space="preserve"> </w:t>
      </w:r>
      <w:r>
        <w:t>^Druhý příjemce prohlašuje, že se před podpisem této smlouvy pečlivě seznámil s Předmětem a že jej přebírá ve stavu, v jakém se tento nachází.</w:t>
      </w:r>
    </w:p>
    <w:p w:rsidR="009B32C2" w:rsidRDefault="004B3D67">
      <w:pPr>
        <w:pStyle w:val="Zkladntext1"/>
        <w:framePr w:w="9706" w:h="3769" w:hRule="exact" w:wrap="none" w:vAnchor="page" w:hAnchor="page" w:x="1106" w:y="4514"/>
        <w:shd w:val="clear" w:color="auto" w:fill="auto"/>
        <w:tabs>
          <w:tab w:val="left" w:pos="572"/>
        </w:tabs>
        <w:spacing w:line="286" w:lineRule="auto"/>
      </w:pPr>
      <w:proofErr w:type="gramStart"/>
      <w:r>
        <w:rPr>
          <w:b/>
          <w:bCs/>
          <w:sz w:val="16"/>
          <w:szCs w:val="16"/>
        </w:rPr>
        <w:t>V.5.</w:t>
      </w:r>
      <w:r>
        <w:rPr>
          <w:b/>
          <w:bCs/>
          <w:sz w:val="16"/>
          <w:szCs w:val="16"/>
        </w:rPr>
        <w:tab/>
      </w:r>
      <w:r>
        <w:t>V.5.</w:t>
      </w:r>
      <w:proofErr w:type="gramEnd"/>
      <w:r>
        <w:t xml:space="preserve"> Poskytovatel si ve smyslu § 1900 OZ vyhrazuje, že mu i po </w:t>
      </w:r>
      <w:r>
        <w:t>postoupení práv a povinností dle této smlouvy zůstávají</w:t>
      </w:r>
    </w:p>
    <w:p w:rsidR="009B32C2" w:rsidRDefault="004B3D67">
      <w:pPr>
        <w:pStyle w:val="Zkladntext1"/>
        <w:framePr w:w="9706" w:h="3769" w:hRule="exact" w:wrap="none" w:vAnchor="page" w:hAnchor="page" w:x="1106" w:y="4514"/>
        <w:shd w:val="clear" w:color="auto" w:fill="auto"/>
        <w:spacing w:line="307" w:lineRule="auto"/>
      </w:pPr>
      <w:r>
        <w:t>zachovány všechny námitky, které měl doposud vůči Prvnímu příjemci jak ze Smlouvy, tak z dalších smluvních a jiných právních vztahů.</w:t>
      </w:r>
    </w:p>
    <w:p w:rsidR="009B32C2" w:rsidRDefault="004B3D67">
      <w:pPr>
        <w:pStyle w:val="Zkladntext1"/>
        <w:framePr w:w="9706" w:h="6718" w:hRule="exact" w:wrap="none" w:vAnchor="page" w:hAnchor="page" w:x="1106" w:y="8348"/>
        <w:numPr>
          <w:ilvl w:val="0"/>
          <w:numId w:val="4"/>
        </w:numPr>
        <w:shd w:val="clear" w:color="auto" w:fill="auto"/>
        <w:tabs>
          <w:tab w:val="left" w:pos="572"/>
        </w:tabs>
        <w:spacing w:line="286" w:lineRule="auto"/>
        <w:rPr>
          <w:sz w:val="16"/>
          <w:szCs w:val="16"/>
        </w:rPr>
      </w:pPr>
      <w:r>
        <w:rPr>
          <w:b/>
          <w:bCs/>
          <w:sz w:val="16"/>
          <w:szCs w:val="16"/>
        </w:rPr>
        <w:t>Smluvní poplatek</w:t>
      </w:r>
    </w:p>
    <w:p w:rsidR="009B32C2" w:rsidRDefault="004B3D67">
      <w:pPr>
        <w:pStyle w:val="Zkladntext1"/>
        <w:framePr w:w="9706" w:h="6718" w:hRule="exact" w:wrap="none" w:vAnchor="page" w:hAnchor="page" w:x="1106" w:y="8348"/>
        <w:shd w:val="clear" w:color="auto" w:fill="auto"/>
        <w:spacing w:after="80" w:line="307" w:lineRule="auto"/>
      </w:pPr>
      <w:r>
        <w:t>Druhý příjemce se zavazuje za provedení změny Smlo</w:t>
      </w:r>
      <w:r>
        <w:t>uvy, jak sjednávána touto smlouvou, zaplatit Poskytovateli ve lhůtě uvedené na příslušném daňovém dokladu vystaveném Poskytovatelem smluvní poplatek ve výši dle aktuálního a ke dni uzavření této dohody platného ceníku Poskytovatele (jak zveřejněn mj. na in</w:t>
      </w:r>
      <w:r>
        <w:t xml:space="preserve">ternetových stránkách Poskytovatele </w:t>
      </w:r>
      <w:hyperlink r:id="rId11" w:history="1">
        <w:r>
          <w:rPr>
            <w:lang w:val="en-US" w:eastAsia="en-US" w:bidi="en-US"/>
          </w:rPr>
          <w:t>www.rl.cz</w:t>
        </w:r>
      </w:hyperlink>
      <w:r>
        <w:rPr>
          <w:lang w:val="en-US" w:eastAsia="en-US" w:bidi="en-US"/>
        </w:rPr>
        <w:t>).</w:t>
      </w:r>
    </w:p>
    <w:p w:rsidR="009B32C2" w:rsidRDefault="004B3D67">
      <w:pPr>
        <w:pStyle w:val="Nadpis20"/>
        <w:framePr w:w="9706" w:h="6718" w:hRule="exact" w:wrap="none" w:vAnchor="page" w:hAnchor="page" w:x="1106" w:y="8348"/>
        <w:numPr>
          <w:ilvl w:val="0"/>
          <w:numId w:val="4"/>
        </w:numPr>
        <w:shd w:val="clear" w:color="auto" w:fill="auto"/>
        <w:tabs>
          <w:tab w:val="left" w:pos="572"/>
        </w:tabs>
        <w:spacing w:line="283" w:lineRule="auto"/>
      </w:pPr>
      <w:bookmarkStart w:id="10" w:name="bookmark12"/>
      <w:bookmarkStart w:id="11" w:name="bookmark13"/>
      <w:r>
        <w:t>Přechodná ustanovení</w:t>
      </w:r>
      <w:bookmarkEnd w:id="10"/>
      <w:bookmarkEnd w:id="11"/>
    </w:p>
    <w:p w:rsidR="009B32C2" w:rsidRDefault="004B3D67">
      <w:pPr>
        <w:pStyle w:val="Zkladntext1"/>
        <w:framePr w:w="9706" w:h="6718" w:hRule="exact" w:wrap="none" w:vAnchor="page" w:hAnchor="page" w:x="1106" w:y="8348"/>
        <w:shd w:val="clear" w:color="auto" w:fill="auto"/>
        <w:spacing w:line="293" w:lineRule="auto"/>
      </w:pPr>
      <w:proofErr w:type="spellStart"/>
      <w:r>
        <w:rPr>
          <w:b/>
          <w:bCs/>
          <w:sz w:val="16"/>
          <w:szCs w:val="16"/>
        </w:rPr>
        <w:t>Vll.l</w:t>
      </w:r>
      <w:proofErr w:type="spellEnd"/>
      <w:r>
        <w:rPr>
          <w:b/>
          <w:bCs/>
          <w:sz w:val="16"/>
          <w:szCs w:val="16"/>
        </w:rPr>
        <w:t xml:space="preserve">. </w:t>
      </w:r>
      <w:r>
        <w:t xml:space="preserve">Práva a povinnosti touto dohodou výslovně neupravené a veškeré právní otázky týkající se vztahu mezi smluvními stranami se řídí právem České </w:t>
      </w:r>
      <w:r>
        <w:t>republiky, zejména OZ.</w:t>
      </w:r>
    </w:p>
    <w:p w:rsidR="009B32C2" w:rsidRDefault="004B3D67">
      <w:pPr>
        <w:pStyle w:val="Zkladntext1"/>
        <w:framePr w:w="9706" w:h="6718" w:hRule="exact" w:wrap="none" w:vAnchor="page" w:hAnchor="page" w:x="1106" w:y="8348"/>
        <w:shd w:val="clear" w:color="auto" w:fill="auto"/>
      </w:pPr>
      <w:r>
        <w:rPr>
          <w:b/>
          <w:bCs/>
          <w:sz w:val="16"/>
          <w:szCs w:val="16"/>
        </w:rPr>
        <w:t xml:space="preserve">VI 1.2. </w:t>
      </w:r>
      <w:r>
        <w:t>Smluvní strany se dohodly, že jakákoli písemnost se považuje za doručenou okamžikem, kdy se dostala do sféry dispozice adresáta, tedy zejména kdy byla převzata adresátem, případně dnem, kdy byla - bylo-li doručováno prostředn</w:t>
      </w:r>
      <w:r>
        <w:t>ictvím držitele poštovní licence ~ uložena u držitele poštovní licence, a v případě, že se vrátila odesílateli jako nedoručitelná s tím, že k uložení nedošlo (např. proto, že adresát je na uvedené adrese neznámý nebo se odstěhoval bez udání adresy), pak 3.</w:t>
      </w:r>
      <w:r>
        <w:t xml:space="preserve"> dnem od jejího odeslání. Adresou rozhodnou pro doručování je vždy adresa uvedená v záhlaví této smlouvy, není-</w:t>
      </w:r>
      <w:proofErr w:type="spellStart"/>
      <w:r>
        <w:t>Ii</w:t>
      </w:r>
      <w:proofErr w:type="spellEnd"/>
      <w:r>
        <w:t xml:space="preserve"> ve smlouvě stanoveno jinak.</w:t>
      </w:r>
    </w:p>
    <w:p w:rsidR="009B32C2" w:rsidRDefault="004B3D67">
      <w:pPr>
        <w:pStyle w:val="Zkladntext1"/>
        <w:framePr w:w="9706" w:h="6718" w:hRule="exact" w:wrap="none" w:vAnchor="page" w:hAnchor="page" w:x="1106" w:y="8348"/>
        <w:shd w:val="clear" w:color="auto" w:fill="auto"/>
        <w:spacing w:line="302" w:lineRule="auto"/>
      </w:pPr>
      <w:proofErr w:type="gramStart"/>
      <w:r>
        <w:rPr>
          <w:b/>
          <w:bCs/>
          <w:sz w:val="16"/>
          <w:szCs w:val="16"/>
        </w:rPr>
        <w:t>VII.3.</w:t>
      </w:r>
      <w:proofErr w:type="gramEnd"/>
      <w:r>
        <w:rPr>
          <w:b/>
          <w:bCs/>
          <w:sz w:val="16"/>
          <w:szCs w:val="16"/>
        </w:rPr>
        <w:t xml:space="preserve"> </w:t>
      </w:r>
      <w:r>
        <w:t>Smluvní strany se dohodly, že veškeré případné majetkové spory mezi nimi vznikající z této smlouvy a v souv</w:t>
      </w:r>
      <w:r>
        <w:t xml:space="preserve">islosti s ní (včetně </w:t>
      </w:r>
      <w:proofErr w:type="spellStart"/>
      <w:r>
        <w:t>srů</w:t>
      </w:r>
      <w:proofErr w:type="spellEnd"/>
      <w:r>
        <w:t xml:space="preserve"> vznikajících ze Smlouvy a v souvislosti s ní) budou rozhodovány s konečnou platností v rozhodčím řízení jedním rozhodcem, a to ad hoc rozhodcem JUDr. Zdeňkou Bednářovou, advokátem, ev. č. ČAK 05079; pokud by z jakéhokoli důvodu roz</w:t>
      </w:r>
      <w:r>
        <w:t>hodce JUDr. Zdeňka Bednářová dotčený spor nemohla rozhodovat (např. odmítla-li by dotčený spor ze zákonných důvodů rozhodovat, byla-li by vyloučena z projednávané věci apod.), pak bude ad hoc rozhodcem Mgr. Martin Vondrouš, advokát, ev. č. ČAK 10036. V roz</w:t>
      </w:r>
      <w:r>
        <w:t>hodčím řízení bude postupováno podle zákona č. 216/1994 Sb., o rozhodčím řízení a výkonu rozhodčích nálezů, ve znění pozdějších předpisů, a podle zákona č. 99/1963 Sb., občanský soudní řád, ve znění pozdějších předpisů. Náklady rozhodčího řízení jdou k tíž</w:t>
      </w:r>
      <w:r>
        <w:t xml:space="preserve">i strany, která ve sporu podlehla, a sestávají z paušálního poplatku na administrativní výlohy ve výši 300 Kč a odměny rozhodce stanovené následovně: základ do výše 30.000 </w:t>
      </w:r>
      <w:proofErr w:type="gramStart"/>
      <w:r>
        <w:t>Kč...</w:t>
      </w:r>
      <w:proofErr w:type="gramEnd"/>
      <w:r>
        <w:t xml:space="preserve"> 700 Kč; základ do výše 50.000 </w:t>
      </w:r>
      <w:proofErr w:type="gramStart"/>
      <w:r>
        <w:t>Kč ... 1.700</w:t>
      </w:r>
      <w:proofErr w:type="gramEnd"/>
      <w:r>
        <w:t xml:space="preserve"> Kč; základ do výše 100.000 </w:t>
      </w:r>
      <w:proofErr w:type="gramStart"/>
      <w:r>
        <w:t>Kč...</w:t>
      </w:r>
      <w:proofErr w:type="gramEnd"/>
      <w:r>
        <w:t xml:space="preserve"> 2.</w:t>
      </w:r>
      <w:r>
        <w:t xml:space="preserve">500 Kč a 3% z Částky hodnoty sporu přesahující 50.000 Kč; základ do výše 250.000 </w:t>
      </w:r>
      <w:proofErr w:type="gramStart"/>
      <w:r>
        <w:t>Kč ... 4.000</w:t>
      </w:r>
      <w:proofErr w:type="gramEnd"/>
      <w:r>
        <w:t xml:space="preserve"> Kč a 2,5% z částky hodnoty sporu přesahující 100.000 Kč; základ do výše 500.000 </w:t>
      </w:r>
      <w:proofErr w:type="gramStart"/>
      <w:r>
        <w:t>Kč...</w:t>
      </w:r>
      <w:proofErr w:type="gramEnd"/>
      <w:r>
        <w:t xml:space="preserve"> 7.750 KČ a 2% z Částky hodnoty sporu přesahující 250.000 Kč; základ do výše </w:t>
      </w:r>
      <w:r>
        <w:t xml:space="preserve">1.000.000 </w:t>
      </w:r>
      <w:proofErr w:type="gramStart"/>
      <w:r>
        <w:t>KČ ...</w:t>
      </w:r>
      <w:proofErr w:type="gramEnd"/>
    </w:p>
    <w:p w:rsidR="009B32C2" w:rsidRDefault="004B3D67">
      <w:pPr>
        <w:pStyle w:val="Zkladntext1"/>
        <w:framePr w:w="9706" w:h="6718" w:hRule="exact" w:wrap="none" w:vAnchor="page" w:hAnchor="page" w:x="1106" w:y="8348"/>
        <w:shd w:val="clear" w:color="auto" w:fill="auto"/>
        <w:spacing w:line="302" w:lineRule="auto"/>
      </w:pPr>
      <w:r>
        <w:t xml:space="preserve">12.750 Kč a 1% z částky hodnoty sporu přesahující 500.000 Kč; základ nad 1.000.000 </w:t>
      </w:r>
      <w:proofErr w:type="gramStart"/>
      <w:r>
        <w:t>Kč ...17.750</w:t>
      </w:r>
      <w:proofErr w:type="gramEnd"/>
      <w:r>
        <w:t xml:space="preserve"> Kč a 0,25% z částky hodnoty sporu převyšující 1,000.000 Kč; v případě porušení povinností (kdy nelze předmět řízení ocenit) některou ze smluvní</w:t>
      </w:r>
      <w:r>
        <w:t xml:space="preserve">ch stran, jsou-li tyto povinnosti uvedeny ve </w:t>
      </w:r>
      <w:proofErr w:type="gramStart"/>
      <w:r>
        <w:t>smlouvě ... 2.000</w:t>
      </w:r>
      <w:proofErr w:type="gramEnd"/>
      <w:r>
        <w:t xml:space="preserve"> Kč; v případě ostatních sporů, u nichž nelze předmět řízení ocenit, a nejde-li o porušení povinností uvedených ve </w:t>
      </w:r>
      <w:proofErr w:type="gramStart"/>
      <w:r>
        <w:t>smlouvě ... 4.000</w:t>
      </w:r>
      <w:proofErr w:type="gramEnd"/>
      <w:r>
        <w:t xml:space="preserve"> Kč. Strana, která ve sporu podlehla, je povinna nahradit druh</w:t>
      </w:r>
      <w:r>
        <w:t>é straně sporu její náklady řízeni, zejména náklady na zaplacené poplatky za rozhodčí řízení [odměnu rozhodce, paušální poplatek na administrativní výlohy, to vše vč. DPH), a dále náklady na právní zastoupení ve výši, odpovídající výší přiznávané v občansk</w:t>
      </w:r>
      <w:r>
        <w:t>ém soudním řízení. Smluvní strany dále sjednávají, že rozhodčí řízení může být pouze písemné a rozhodčí nález nemusí obsahovat odůvodnění. Pokud by z jakéhokoli důvodu</w:t>
      </w:r>
    </w:p>
    <w:p w:rsidR="009B32C2" w:rsidRDefault="004B3D67">
      <w:pPr>
        <w:pStyle w:val="Zkladntext1"/>
        <w:framePr w:w="9706" w:h="907" w:hRule="exact" w:wrap="none" w:vAnchor="page" w:hAnchor="page" w:x="1106" w:y="15361"/>
        <w:shd w:val="clear" w:color="auto" w:fill="auto"/>
        <w:tabs>
          <w:tab w:val="left" w:pos="8248"/>
        </w:tabs>
        <w:spacing w:line="240" w:lineRule="auto"/>
      </w:pPr>
      <w:r>
        <w:t xml:space="preserve">Verze 083-03 platná </w:t>
      </w:r>
      <w:proofErr w:type="gramStart"/>
      <w:r>
        <w:t>od</w:t>
      </w:r>
      <w:proofErr w:type="gramEnd"/>
      <w:r>
        <w:t xml:space="preserve">: </w:t>
      </w:r>
      <w:proofErr w:type="gramStart"/>
      <w:r>
        <w:t>21.04.2020</w:t>
      </w:r>
      <w:proofErr w:type="gramEnd"/>
      <w:r>
        <w:tab/>
        <w:t>Strana 2 (celkem 3)</w:t>
      </w:r>
    </w:p>
    <w:p w:rsidR="009B32C2" w:rsidRDefault="004B3D67">
      <w:pPr>
        <w:pStyle w:val="Zkladntext1"/>
        <w:framePr w:w="9706" w:h="907" w:hRule="exact" w:wrap="none" w:vAnchor="page" w:hAnchor="page" w:x="1106" w:y="15361"/>
        <w:shd w:val="clear" w:color="auto" w:fill="auto"/>
        <w:spacing w:line="240" w:lineRule="auto"/>
      </w:pPr>
      <w:proofErr w:type="spellStart"/>
      <w:r>
        <w:rPr>
          <w:b/>
          <w:bCs/>
          <w:sz w:val="16"/>
          <w:szCs w:val="16"/>
        </w:rPr>
        <w:t>Raiffeísen</w:t>
      </w:r>
      <w:proofErr w:type="spellEnd"/>
      <w:r>
        <w:rPr>
          <w:b/>
          <w:bCs/>
          <w:sz w:val="16"/>
          <w:szCs w:val="16"/>
        </w:rPr>
        <w:t xml:space="preserve"> - Leasing, </w:t>
      </w:r>
      <w:proofErr w:type="spellStart"/>
      <w:proofErr w:type="gramStart"/>
      <w:r>
        <w:rPr>
          <w:b/>
          <w:bCs/>
          <w:sz w:val="16"/>
          <w:szCs w:val="16"/>
        </w:rPr>
        <w:t>s.r.</w:t>
      </w:r>
      <w:proofErr w:type="gramEnd"/>
      <w:r>
        <w:rPr>
          <w:b/>
          <w:bCs/>
          <w:sz w:val="16"/>
          <w:szCs w:val="16"/>
        </w:rPr>
        <w:t>c</w:t>
      </w:r>
      <w:proofErr w:type="spellEnd"/>
      <w:r>
        <w:rPr>
          <w:b/>
          <w:bCs/>
          <w:sz w:val="16"/>
          <w:szCs w:val="16"/>
        </w:rPr>
        <w:t xml:space="preserve">. </w:t>
      </w:r>
      <w:r>
        <w:t>• sí</w:t>
      </w:r>
      <w:r>
        <w:t xml:space="preserve">dlo Hvězdová 1716/2b, 140 00 Praha 4 • 1Č 61467863 • DIČ </w:t>
      </w:r>
      <w:proofErr w:type="spellStart"/>
      <w:r>
        <w:t>CZó</w:t>
      </w:r>
      <w:proofErr w:type="spellEnd"/>
      <w:r>
        <w:t xml:space="preserve"> 1467863</w:t>
      </w:r>
    </w:p>
    <w:p w:rsidR="009B32C2" w:rsidRDefault="004B3D67">
      <w:pPr>
        <w:pStyle w:val="Zkladntext1"/>
        <w:framePr w:w="9706" w:h="907" w:hRule="exact" w:wrap="none" w:vAnchor="page" w:hAnchor="page" w:x="1106" w:y="15361"/>
        <w:shd w:val="clear" w:color="auto" w:fill="auto"/>
        <w:spacing w:line="240" w:lineRule="auto"/>
      </w:pPr>
      <w:r>
        <w:t>■ zapsaná v obchodním rejstříku vedeném Městským soudem v Praze, oddíl C, vložka 29553</w:t>
      </w:r>
    </w:p>
    <w:p w:rsidR="009B32C2" w:rsidRDefault="004B3D67">
      <w:pPr>
        <w:pStyle w:val="Zkladntext1"/>
        <w:framePr w:w="9706" w:h="907" w:hRule="exact" w:wrap="none" w:vAnchor="page" w:hAnchor="page" w:x="1106" w:y="15361"/>
        <w:shd w:val="clear" w:color="auto" w:fill="auto"/>
        <w:spacing w:line="240" w:lineRule="auto"/>
        <w:rPr>
          <w:sz w:val="16"/>
          <w:szCs w:val="16"/>
        </w:rPr>
      </w:pPr>
      <w:r>
        <w:t xml:space="preserve">• telefon: +420 221 511 611 fax: +420 221 511 666 email: </w:t>
      </w:r>
      <w:hyperlink r:id="rId12" w:history="1">
        <w:r>
          <w:rPr>
            <w:lang w:val="en-US" w:eastAsia="en-US" w:bidi="en-US"/>
          </w:rPr>
          <w:t>praha@rl.cz</w:t>
        </w:r>
      </w:hyperlink>
      <w:r>
        <w:rPr>
          <w:lang w:val="en-US" w:eastAsia="en-US" w:bidi="en-US"/>
        </w:rPr>
        <w:t xml:space="preserve"> </w:t>
      </w:r>
      <w:hyperlink r:id="rId13" w:history="1">
        <w:r>
          <w:rPr>
            <w:b/>
            <w:bCs/>
            <w:sz w:val="16"/>
            <w:szCs w:val="16"/>
            <w:lang w:val="en-US" w:eastAsia="en-US" w:bidi="en-US"/>
          </w:rPr>
          <w:t>http://www.rl.cz</w:t>
        </w:r>
      </w:hyperlink>
    </w:p>
    <w:p w:rsidR="009B32C2" w:rsidRDefault="009B32C2">
      <w:pPr>
        <w:spacing w:line="1" w:lineRule="exact"/>
        <w:sectPr w:rsidR="009B32C2">
          <w:pgSz w:w="11900" w:h="16840"/>
          <w:pgMar w:top="360" w:right="360" w:bottom="360" w:left="360" w:header="0" w:footer="3" w:gutter="0"/>
          <w:cols w:space="720"/>
          <w:noEndnote/>
          <w:docGrid w:linePitch="360"/>
        </w:sectPr>
      </w:pPr>
    </w:p>
    <w:p w:rsidR="009B32C2" w:rsidRDefault="009B32C2">
      <w:pPr>
        <w:spacing w:line="1" w:lineRule="exact"/>
      </w:pPr>
      <w:bookmarkStart w:id="12" w:name="_GoBack"/>
      <w:bookmarkEnd w:id="12"/>
    </w:p>
    <w:p w:rsidR="009B32C2" w:rsidRDefault="004B3D67">
      <w:pPr>
        <w:framePr w:wrap="none" w:vAnchor="page" w:hAnchor="page" w:x="9127" w:y="932"/>
        <w:rPr>
          <w:sz w:val="2"/>
          <w:szCs w:val="2"/>
        </w:rPr>
      </w:pPr>
      <w:r>
        <w:rPr>
          <w:noProof/>
          <w:lang w:bidi="ar-SA"/>
        </w:rPr>
        <w:drawing>
          <wp:inline distT="0" distB="0" distL="0" distR="0">
            <wp:extent cx="255905" cy="25019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stretch/>
                  </pic:blipFill>
                  <pic:spPr>
                    <a:xfrm>
                      <a:off x="0" y="0"/>
                      <a:ext cx="255905" cy="250190"/>
                    </a:xfrm>
                    <a:prstGeom prst="rect">
                      <a:avLst/>
                    </a:prstGeom>
                  </pic:spPr>
                </pic:pic>
              </a:graphicData>
            </a:graphic>
          </wp:inline>
        </w:drawing>
      </w:r>
    </w:p>
    <w:p w:rsidR="009B32C2" w:rsidRDefault="004B3D67">
      <w:pPr>
        <w:pStyle w:val="Nadpis10"/>
        <w:framePr w:w="1238" w:h="533" w:hRule="exact" w:wrap="none" w:vAnchor="page" w:hAnchor="page" w:x="9559" w:y="867"/>
        <w:shd w:val="clear" w:color="auto" w:fill="auto"/>
      </w:pPr>
      <w:bookmarkStart w:id="13" w:name="bookmark14"/>
      <w:bookmarkStart w:id="14" w:name="bookmark15"/>
      <w:proofErr w:type="spellStart"/>
      <w:r>
        <w:t>Raiffeisen</w:t>
      </w:r>
      <w:proofErr w:type="spellEnd"/>
      <w:r>
        <w:t xml:space="preserve"> </w:t>
      </w:r>
      <w:r>
        <w:rPr>
          <w:i/>
          <w:iCs/>
        </w:rPr>
        <w:t>LEASING</w:t>
      </w:r>
      <w:bookmarkEnd w:id="13"/>
      <w:bookmarkEnd w:id="14"/>
    </w:p>
    <w:p w:rsidR="009B32C2" w:rsidRDefault="004B3D67">
      <w:pPr>
        <w:pStyle w:val="Zkladntext1"/>
        <w:framePr w:w="9713" w:h="1811" w:hRule="exact" w:wrap="none" w:vAnchor="page" w:hAnchor="page" w:x="1102" w:y="1468"/>
        <w:shd w:val="clear" w:color="auto" w:fill="auto"/>
        <w:spacing w:line="307" w:lineRule="auto"/>
      </w:pPr>
      <w:r>
        <w:rPr>
          <w:i/>
          <w:iCs/>
        </w:rPr>
        <w:t>žádná z</w:t>
      </w:r>
      <w:r>
        <w:t xml:space="preserve"> výše uvedených osob nemohla spor rozhodovat (např. odmítly-li by všechny osoby dotčený spor ze zákonných důvodů rozhodovat, nebo byly-</w:t>
      </w:r>
      <w:proofErr w:type="spellStart"/>
      <w:r>
        <w:t>Ii</w:t>
      </w:r>
      <w:proofErr w:type="spellEnd"/>
      <w:r>
        <w:t xml:space="preserve"> by všechny osoby vyloučeny z projednávané věci </w:t>
      </w:r>
      <w:proofErr w:type="spellStart"/>
      <w:proofErr w:type="gramStart"/>
      <w:r>
        <w:t>apod.J</w:t>
      </w:r>
      <w:proofErr w:type="spellEnd"/>
      <w:r>
        <w:t>, pak</w:t>
      </w:r>
      <w:proofErr w:type="gramEnd"/>
      <w:r>
        <w:t xml:space="preserve"> budou veškeré případné majetkové spory vznikající z této sm</w:t>
      </w:r>
      <w:r>
        <w:t>louvy a v souvislosti 5 ní rozhodovány s konečnou platností u Rozhodčího soudu při Hospodářské komoře České republiky a Agrární komoře České republiky podle jeho Řádu a Pravidel jedním rozhodcem jmenovaným předsedou Rozhodčího soudu. Náklady rozhodčího říz</w:t>
      </w:r>
      <w:r>
        <w:t>ení jdou k tíži strany, která ve sporu podlehla, a jsou uvedeny v Pravidlech Rozhodčího soudu při Hospodářské komoře České republiky a Agrární komoře České republiky.</w:t>
      </w:r>
    </w:p>
    <w:p w:rsidR="009B32C2" w:rsidRDefault="004B3D67">
      <w:pPr>
        <w:pStyle w:val="Zkladntext1"/>
        <w:framePr w:w="9713" w:h="1811" w:hRule="exact" w:wrap="none" w:vAnchor="page" w:hAnchor="page" w:x="1102" w:y="1468"/>
        <w:shd w:val="clear" w:color="auto" w:fill="auto"/>
        <w:spacing w:line="298" w:lineRule="auto"/>
      </w:pPr>
      <w:r>
        <w:rPr>
          <w:b/>
          <w:bCs/>
          <w:sz w:val="16"/>
          <w:szCs w:val="16"/>
        </w:rPr>
        <w:t xml:space="preserve">V11.4. </w:t>
      </w:r>
      <w:r>
        <w:t>Tato smlouva obsahuje úplnou dohodu smluvních stran o předmětu této smlouvy a nahr</w:t>
      </w:r>
      <w:r>
        <w:t>azuje všechny předchozí ústní čí písemné dohody smluvních stran týkající se předmětu této smlouvy.</w:t>
      </w:r>
    </w:p>
    <w:p w:rsidR="009B32C2" w:rsidRDefault="004B3D67">
      <w:pPr>
        <w:pStyle w:val="Nadpis20"/>
        <w:framePr w:w="9680" w:h="2023" w:hRule="exact" w:wrap="none" w:vAnchor="page" w:hAnchor="page" w:x="1102" w:y="3466"/>
        <w:shd w:val="clear" w:color="auto" w:fill="auto"/>
        <w:spacing w:line="290" w:lineRule="auto"/>
        <w:ind w:left="8" w:right="11"/>
      </w:pPr>
      <w:bookmarkStart w:id="15" w:name="bookmark16"/>
      <w:bookmarkStart w:id="16" w:name="bookmark17"/>
      <w:r>
        <w:t>Vlil. Závěrečná ustanovení</w:t>
      </w:r>
      <w:bookmarkEnd w:id="15"/>
      <w:bookmarkEnd w:id="16"/>
    </w:p>
    <w:p w:rsidR="009B32C2" w:rsidRDefault="004B3D67">
      <w:pPr>
        <w:pStyle w:val="Zkladntext1"/>
        <w:framePr w:w="9680" w:h="2023" w:hRule="exact" w:wrap="none" w:vAnchor="page" w:hAnchor="page" w:x="1102" w:y="3466"/>
        <w:shd w:val="clear" w:color="auto" w:fill="auto"/>
        <w:spacing w:line="305" w:lineRule="auto"/>
        <w:ind w:left="8" w:right="11"/>
      </w:pPr>
      <w:proofErr w:type="spellStart"/>
      <w:r>
        <w:rPr>
          <w:b/>
          <w:bCs/>
          <w:sz w:val="16"/>
          <w:szCs w:val="16"/>
        </w:rPr>
        <w:t>Vlll.l</w:t>
      </w:r>
      <w:proofErr w:type="spellEnd"/>
      <w:r>
        <w:rPr>
          <w:b/>
          <w:bCs/>
          <w:sz w:val="16"/>
          <w:szCs w:val="16"/>
        </w:rPr>
        <w:t xml:space="preserve">. </w:t>
      </w:r>
      <w:r>
        <w:t>Tuto smlouvu je možno měnit pouze formou Číslovaných písemných dodatků odsouhlasených smluvními stranami; jiná než písemná</w:t>
      </w:r>
      <w:r>
        <w:br/>
        <w:t>forma je vyloučena. Ustanovení § 1799 a § 1 800 OZ se pro úpravu právních vztahů smluvních stran podle této smlouvy neužijí. První</w:t>
      </w:r>
      <w:r>
        <w:br/>
        <w:t xml:space="preserve">příjemce a Druhý příjemce přebírají na sebe riziko změny okolností ve smyslu § 1705 </w:t>
      </w:r>
      <w:proofErr w:type="gramStart"/>
      <w:r>
        <w:t>odst.2 OZ</w:t>
      </w:r>
      <w:proofErr w:type="gramEnd"/>
      <w:r>
        <w:t>; První příjemce a Druhý příjem</w:t>
      </w:r>
      <w:r>
        <w:t>ce</w:t>
      </w:r>
      <w:r>
        <w:br/>
        <w:t>nemohou uplatňovat vůči Poskytovateli práva uvedená v § 1</w:t>
      </w:r>
      <w:r>
        <w:rPr>
          <w:i/>
          <w:iCs/>
        </w:rPr>
        <w:t>765</w:t>
      </w:r>
      <w:r>
        <w:t xml:space="preserve"> </w:t>
      </w:r>
      <w:proofErr w:type="spellStart"/>
      <w:proofErr w:type="gramStart"/>
      <w:r>
        <w:t>odst.l</w:t>
      </w:r>
      <w:proofErr w:type="spellEnd"/>
      <w:r>
        <w:t xml:space="preserve"> OZ</w:t>
      </w:r>
      <w:proofErr w:type="gramEnd"/>
      <w:r>
        <w:t>.</w:t>
      </w:r>
    </w:p>
    <w:p w:rsidR="009B32C2" w:rsidRDefault="004B3D67">
      <w:pPr>
        <w:pStyle w:val="Zkladntext1"/>
        <w:framePr w:w="9680" w:h="2023" w:hRule="exact" w:wrap="none" w:vAnchor="page" w:hAnchor="page" w:x="1102" w:y="3466"/>
        <w:shd w:val="clear" w:color="auto" w:fill="auto"/>
        <w:ind w:left="8" w:right="11"/>
      </w:pPr>
      <w:r>
        <w:rPr>
          <w:b/>
          <w:bCs/>
          <w:sz w:val="16"/>
          <w:szCs w:val="16"/>
        </w:rPr>
        <w:t xml:space="preserve">VHI.2. </w:t>
      </w:r>
      <w:r>
        <w:t xml:space="preserve">Tato smlouva je vypracována ve </w:t>
      </w:r>
      <w:r>
        <w:rPr>
          <w:b/>
          <w:bCs/>
          <w:sz w:val="16"/>
          <w:szCs w:val="16"/>
        </w:rPr>
        <w:t xml:space="preserve">třech stejnopisech, </w:t>
      </w:r>
      <w:r>
        <w:t>z nichž každý má platnost originálu. Každé smluvní straně náleží</w:t>
      </w:r>
      <w:r>
        <w:br/>
        <w:t>po jednom stejnopisu.</w:t>
      </w:r>
    </w:p>
    <w:p w:rsidR="009B32C2" w:rsidRDefault="004B3D67">
      <w:pPr>
        <w:pStyle w:val="Zkladntext1"/>
        <w:framePr w:w="9680" w:h="2023" w:hRule="exact" w:wrap="none" w:vAnchor="page" w:hAnchor="page" w:x="1102" w:y="3466"/>
        <w:shd w:val="clear" w:color="auto" w:fill="auto"/>
        <w:ind w:left="8" w:right="11"/>
      </w:pPr>
      <w:r>
        <w:rPr>
          <w:b/>
          <w:bCs/>
          <w:sz w:val="16"/>
          <w:szCs w:val="16"/>
        </w:rPr>
        <w:t xml:space="preserve">VI 11.3. </w:t>
      </w:r>
      <w:r>
        <w:t>Na důkaz toho, že se smluvn</w:t>
      </w:r>
      <w:r>
        <w:t>í strany s touto smlouvou před jejím podpisem seznámily, že s ní souhlasí a že byla uzavřena z jejich</w:t>
      </w:r>
      <w:r>
        <w:br/>
        <w:t>pravé a svobodné vůle, připojují smluvní strany svůj podpis.</w:t>
      </w:r>
    </w:p>
    <w:p w:rsidR="009B32C2" w:rsidRDefault="004B3D67">
      <w:pPr>
        <w:pStyle w:val="Titulekobrzku0"/>
        <w:framePr w:w="497" w:h="504" w:hRule="exact" w:wrap="none" w:vAnchor="page" w:hAnchor="page" w:x="1196" w:y="5590"/>
        <w:shd w:val="clear" w:color="auto" w:fill="auto"/>
        <w:spacing w:line="326" w:lineRule="auto"/>
        <w:ind w:left="4" w:right="33"/>
      </w:pPr>
      <w:r>
        <w:rPr>
          <w:u w:val="single"/>
        </w:rPr>
        <w:t>Místo</w:t>
      </w:r>
      <w:r>
        <w:rPr>
          <w:u w:val="single"/>
        </w:rPr>
        <w:br/>
      </w:r>
      <w:r>
        <w:t>Datum</w:t>
      </w:r>
    </w:p>
    <w:p w:rsidR="009B32C2" w:rsidRDefault="009B32C2" w:rsidP="004B3D67">
      <w:pPr>
        <w:pStyle w:val="Zkladntext1"/>
        <w:framePr w:w="3172" w:h="1148" w:hRule="exact" w:wrap="none" w:vAnchor="page" w:hAnchor="page" w:x="4407" w:y="5497"/>
        <w:shd w:val="clear" w:color="auto" w:fill="auto"/>
        <w:spacing w:line="240" w:lineRule="auto"/>
        <w:ind w:left="51" w:right="1001"/>
        <w:jc w:val="both"/>
      </w:pPr>
    </w:p>
    <w:sectPr w:rsidR="009B32C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3D67">
      <w:r>
        <w:separator/>
      </w:r>
    </w:p>
  </w:endnote>
  <w:endnote w:type="continuationSeparator" w:id="0">
    <w:p w:rsidR="00000000" w:rsidRDefault="004B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2C2" w:rsidRDefault="009B32C2"/>
  </w:footnote>
  <w:footnote w:type="continuationSeparator" w:id="0">
    <w:p w:rsidR="009B32C2" w:rsidRDefault="009B32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CE8"/>
    <w:multiLevelType w:val="multilevel"/>
    <w:tmpl w:val="38F8E86A"/>
    <w:lvl w:ilvl="0">
      <w:start w:val="1"/>
      <w:numFmt w:val="decimal"/>
      <w:lvlText w:val="1.%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8C7D67"/>
    <w:multiLevelType w:val="multilevel"/>
    <w:tmpl w:val="34B8F75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55353B"/>
    <w:multiLevelType w:val="multilevel"/>
    <w:tmpl w:val="91A02992"/>
    <w:lvl w:ilvl="0">
      <w:start w:val="1"/>
      <w:numFmt w:val="decimal"/>
      <w:lvlText w:val="11.%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C4D1DFF"/>
    <w:multiLevelType w:val="multilevel"/>
    <w:tmpl w:val="F4DE9B54"/>
    <w:lvl w:ilvl="0">
      <w:start w:val="4"/>
      <w:numFmt w:val="upperRoman"/>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9B32C2"/>
    <w:rsid w:val="004B3D67"/>
    <w:rsid w:val="009B32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6"/>
      <w:szCs w:val="26"/>
      <w:u w:val="none"/>
    </w:rPr>
  </w:style>
  <w:style w:type="character" w:customStyle="1" w:styleId="Nadpis1">
    <w:name w:val="Nadpis #1_"/>
    <w:basedOn w:val="Standardnpsmoodstavce"/>
    <w:link w:val="Nadpis10"/>
    <w:rPr>
      <w:rFonts w:ascii="Tahoma" w:eastAsia="Tahoma" w:hAnsi="Tahoma" w:cs="Tahoma"/>
      <w:b/>
      <w:bCs/>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5"/>
      <w:szCs w:val="15"/>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6"/>
      <w:szCs w:val="16"/>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5"/>
      <w:szCs w:val="15"/>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2"/>
      <w:szCs w:val="22"/>
      <w:u w:val="singl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paragraph" w:customStyle="1" w:styleId="Zkladntext30">
    <w:name w:val="Základní text (3)"/>
    <w:basedOn w:val="Normln"/>
    <w:link w:val="Zkladntext3"/>
    <w:pPr>
      <w:shd w:val="clear" w:color="auto" w:fill="FFFFFF"/>
    </w:pPr>
    <w:rPr>
      <w:rFonts w:ascii="Arial" w:eastAsia="Arial" w:hAnsi="Arial" w:cs="Arial"/>
      <w:b/>
      <w:bCs/>
      <w:sz w:val="26"/>
      <w:szCs w:val="26"/>
    </w:rPr>
  </w:style>
  <w:style w:type="paragraph" w:customStyle="1" w:styleId="Nadpis10">
    <w:name w:val="Nadpis #1"/>
    <w:basedOn w:val="Normln"/>
    <w:link w:val="Nadpis1"/>
    <w:pPr>
      <w:shd w:val="clear" w:color="auto" w:fill="FFFFFF"/>
      <w:spacing w:line="221" w:lineRule="auto"/>
      <w:outlineLvl w:val="0"/>
    </w:pPr>
    <w:rPr>
      <w:rFonts w:ascii="Tahoma" w:eastAsia="Tahoma" w:hAnsi="Tahoma" w:cs="Tahoma"/>
      <w:b/>
      <w:bCs/>
      <w:sz w:val="22"/>
      <w:szCs w:val="22"/>
    </w:rPr>
  </w:style>
  <w:style w:type="paragraph" w:customStyle="1" w:styleId="Jin0">
    <w:name w:val="Jiné"/>
    <w:basedOn w:val="Normln"/>
    <w:link w:val="Jin"/>
    <w:pPr>
      <w:shd w:val="clear" w:color="auto" w:fill="FFFFFF"/>
      <w:spacing w:line="300" w:lineRule="auto"/>
    </w:pPr>
    <w:rPr>
      <w:rFonts w:ascii="Arial" w:eastAsia="Arial" w:hAnsi="Arial" w:cs="Arial"/>
      <w:sz w:val="15"/>
      <w:szCs w:val="15"/>
    </w:rPr>
  </w:style>
  <w:style w:type="paragraph" w:customStyle="1" w:styleId="Zkladntext1">
    <w:name w:val="Základní text1"/>
    <w:basedOn w:val="Normln"/>
    <w:link w:val="Zkladntext"/>
    <w:pPr>
      <w:shd w:val="clear" w:color="auto" w:fill="FFFFFF"/>
      <w:spacing w:line="300" w:lineRule="auto"/>
    </w:pPr>
    <w:rPr>
      <w:rFonts w:ascii="Arial" w:eastAsia="Arial" w:hAnsi="Arial" w:cs="Arial"/>
      <w:sz w:val="15"/>
      <w:szCs w:val="15"/>
    </w:rPr>
  </w:style>
  <w:style w:type="paragraph" w:customStyle="1" w:styleId="Nadpis20">
    <w:name w:val="Nadpis #2"/>
    <w:basedOn w:val="Normln"/>
    <w:link w:val="Nadpis2"/>
    <w:pPr>
      <w:shd w:val="clear" w:color="auto" w:fill="FFFFFF"/>
      <w:spacing w:line="286" w:lineRule="auto"/>
      <w:outlineLvl w:val="1"/>
    </w:pPr>
    <w:rPr>
      <w:rFonts w:ascii="Arial" w:eastAsia="Arial" w:hAnsi="Arial" w:cs="Arial"/>
      <w:b/>
      <w:bCs/>
      <w:sz w:val="16"/>
      <w:szCs w:val="16"/>
    </w:rPr>
  </w:style>
  <w:style w:type="paragraph" w:customStyle="1" w:styleId="Titulektabulky0">
    <w:name w:val="Titulek tabulky"/>
    <w:basedOn w:val="Normln"/>
    <w:link w:val="Titulektabulky"/>
    <w:pPr>
      <w:shd w:val="clear" w:color="auto" w:fill="FFFFFF"/>
      <w:spacing w:line="293" w:lineRule="auto"/>
    </w:pPr>
    <w:rPr>
      <w:rFonts w:ascii="Arial" w:eastAsia="Arial" w:hAnsi="Arial" w:cs="Arial"/>
      <w:sz w:val="15"/>
      <w:szCs w:val="15"/>
    </w:rPr>
  </w:style>
  <w:style w:type="paragraph" w:customStyle="1" w:styleId="Titulekobrzku0">
    <w:name w:val="Titulek obrázku"/>
    <w:basedOn w:val="Normln"/>
    <w:link w:val="Titulekobrzku"/>
    <w:pPr>
      <w:shd w:val="clear" w:color="auto" w:fill="FFFFFF"/>
      <w:spacing w:line="312" w:lineRule="auto"/>
    </w:pPr>
    <w:rPr>
      <w:rFonts w:ascii="Arial" w:eastAsia="Arial" w:hAnsi="Arial" w:cs="Arial"/>
      <w:sz w:val="15"/>
      <w:szCs w:val="15"/>
    </w:rPr>
  </w:style>
  <w:style w:type="paragraph" w:customStyle="1" w:styleId="Zkladntext40">
    <w:name w:val="Základní text (4)"/>
    <w:basedOn w:val="Normln"/>
    <w:link w:val="Zkladntext4"/>
    <w:pPr>
      <w:shd w:val="clear" w:color="auto" w:fill="FFFFFF"/>
      <w:spacing w:line="199" w:lineRule="auto"/>
      <w:jc w:val="right"/>
    </w:pPr>
    <w:rPr>
      <w:rFonts w:ascii="Arial" w:eastAsia="Arial" w:hAnsi="Arial" w:cs="Arial"/>
      <w:sz w:val="22"/>
      <w:szCs w:val="22"/>
      <w:u w:val="single"/>
    </w:rPr>
  </w:style>
  <w:style w:type="paragraph" w:customStyle="1" w:styleId="Zkladntext20">
    <w:name w:val="Základní text (2)"/>
    <w:basedOn w:val="Normln"/>
    <w:link w:val="Zkladntext2"/>
    <w:pPr>
      <w:shd w:val="clear" w:color="auto" w:fill="FFFFFF"/>
      <w:spacing w:line="192" w:lineRule="auto"/>
      <w:jc w:val="right"/>
    </w:pPr>
    <w:rPr>
      <w:rFonts w:ascii="Arial" w:eastAsia="Arial" w:hAnsi="Arial" w:cs="Arial"/>
      <w:sz w:val="13"/>
      <w:szCs w:val="13"/>
    </w:rPr>
  </w:style>
  <w:style w:type="paragraph" w:styleId="Textbubliny">
    <w:name w:val="Balloon Text"/>
    <w:basedOn w:val="Normln"/>
    <w:link w:val="TextbublinyChar"/>
    <w:uiPriority w:val="99"/>
    <w:semiHidden/>
    <w:unhideWhenUsed/>
    <w:rsid w:val="004B3D67"/>
    <w:rPr>
      <w:rFonts w:ascii="Tahoma" w:hAnsi="Tahoma" w:cs="Tahoma"/>
      <w:sz w:val="16"/>
      <w:szCs w:val="16"/>
    </w:rPr>
  </w:style>
  <w:style w:type="character" w:customStyle="1" w:styleId="TextbublinyChar">
    <w:name w:val="Text bubliny Char"/>
    <w:basedOn w:val="Standardnpsmoodstavce"/>
    <w:link w:val="Textbubliny"/>
    <w:uiPriority w:val="99"/>
    <w:semiHidden/>
    <w:rsid w:val="004B3D6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6"/>
      <w:szCs w:val="26"/>
      <w:u w:val="none"/>
    </w:rPr>
  </w:style>
  <w:style w:type="character" w:customStyle="1" w:styleId="Nadpis1">
    <w:name w:val="Nadpis #1_"/>
    <w:basedOn w:val="Standardnpsmoodstavce"/>
    <w:link w:val="Nadpis10"/>
    <w:rPr>
      <w:rFonts w:ascii="Tahoma" w:eastAsia="Tahoma" w:hAnsi="Tahoma" w:cs="Tahoma"/>
      <w:b/>
      <w:bCs/>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5"/>
      <w:szCs w:val="15"/>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6"/>
      <w:szCs w:val="16"/>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5"/>
      <w:szCs w:val="15"/>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2"/>
      <w:szCs w:val="22"/>
      <w:u w:val="singl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paragraph" w:customStyle="1" w:styleId="Zkladntext30">
    <w:name w:val="Základní text (3)"/>
    <w:basedOn w:val="Normln"/>
    <w:link w:val="Zkladntext3"/>
    <w:pPr>
      <w:shd w:val="clear" w:color="auto" w:fill="FFFFFF"/>
    </w:pPr>
    <w:rPr>
      <w:rFonts w:ascii="Arial" w:eastAsia="Arial" w:hAnsi="Arial" w:cs="Arial"/>
      <w:b/>
      <w:bCs/>
      <w:sz w:val="26"/>
      <w:szCs w:val="26"/>
    </w:rPr>
  </w:style>
  <w:style w:type="paragraph" w:customStyle="1" w:styleId="Nadpis10">
    <w:name w:val="Nadpis #1"/>
    <w:basedOn w:val="Normln"/>
    <w:link w:val="Nadpis1"/>
    <w:pPr>
      <w:shd w:val="clear" w:color="auto" w:fill="FFFFFF"/>
      <w:spacing w:line="221" w:lineRule="auto"/>
      <w:outlineLvl w:val="0"/>
    </w:pPr>
    <w:rPr>
      <w:rFonts w:ascii="Tahoma" w:eastAsia="Tahoma" w:hAnsi="Tahoma" w:cs="Tahoma"/>
      <w:b/>
      <w:bCs/>
      <w:sz w:val="22"/>
      <w:szCs w:val="22"/>
    </w:rPr>
  </w:style>
  <w:style w:type="paragraph" w:customStyle="1" w:styleId="Jin0">
    <w:name w:val="Jiné"/>
    <w:basedOn w:val="Normln"/>
    <w:link w:val="Jin"/>
    <w:pPr>
      <w:shd w:val="clear" w:color="auto" w:fill="FFFFFF"/>
      <w:spacing w:line="300" w:lineRule="auto"/>
    </w:pPr>
    <w:rPr>
      <w:rFonts w:ascii="Arial" w:eastAsia="Arial" w:hAnsi="Arial" w:cs="Arial"/>
      <w:sz w:val="15"/>
      <w:szCs w:val="15"/>
    </w:rPr>
  </w:style>
  <w:style w:type="paragraph" w:customStyle="1" w:styleId="Zkladntext1">
    <w:name w:val="Základní text1"/>
    <w:basedOn w:val="Normln"/>
    <w:link w:val="Zkladntext"/>
    <w:pPr>
      <w:shd w:val="clear" w:color="auto" w:fill="FFFFFF"/>
      <w:spacing w:line="300" w:lineRule="auto"/>
    </w:pPr>
    <w:rPr>
      <w:rFonts w:ascii="Arial" w:eastAsia="Arial" w:hAnsi="Arial" w:cs="Arial"/>
      <w:sz w:val="15"/>
      <w:szCs w:val="15"/>
    </w:rPr>
  </w:style>
  <w:style w:type="paragraph" w:customStyle="1" w:styleId="Nadpis20">
    <w:name w:val="Nadpis #2"/>
    <w:basedOn w:val="Normln"/>
    <w:link w:val="Nadpis2"/>
    <w:pPr>
      <w:shd w:val="clear" w:color="auto" w:fill="FFFFFF"/>
      <w:spacing w:line="286" w:lineRule="auto"/>
      <w:outlineLvl w:val="1"/>
    </w:pPr>
    <w:rPr>
      <w:rFonts w:ascii="Arial" w:eastAsia="Arial" w:hAnsi="Arial" w:cs="Arial"/>
      <w:b/>
      <w:bCs/>
      <w:sz w:val="16"/>
      <w:szCs w:val="16"/>
    </w:rPr>
  </w:style>
  <w:style w:type="paragraph" w:customStyle="1" w:styleId="Titulektabulky0">
    <w:name w:val="Titulek tabulky"/>
    <w:basedOn w:val="Normln"/>
    <w:link w:val="Titulektabulky"/>
    <w:pPr>
      <w:shd w:val="clear" w:color="auto" w:fill="FFFFFF"/>
      <w:spacing w:line="293" w:lineRule="auto"/>
    </w:pPr>
    <w:rPr>
      <w:rFonts w:ascii="Arial" w:eastAsia="Arial" w:hAnsi="Arial" w:cs="Arial"/>
      <w:sz w:val="15"/>
      <w:szCs w:val="15"/>
    </w:rPr>
  </w:style>
  <w:style w:type="paragraph" w:customStyle="1" w:styleId="Titulekobrzku0">
    <w:name w:val="Titulek obrázku"/>
    <w:basedOn w:val="Normln"/>
    <w:link w:val="Titulekobrzku"/>
    <w:pPr>
      <w:shd w:val="clear" w:color="auto" w:fill="FFFFFF"/>
      <w:spacing w:line="312" w:lineRule="auto"/>
    </w:pPr>
    <w:rPr>
      <w:rFonts w:ascii="Arial" w:eastAsia="Arial" w:hAnsi="Arial" w:cs="Arial"/>
      <w:sz w:val="15"/>
      <w:szCs w:val="15"/>
    </w:rPr>
  </w:style>
  <w:style w:type="paragraph" w:customStyle="1" w:styleId="Zkladntext40">
    <w:name w:val="Základní text (4)"/>
    <w:basedOn w:val="Normln"/>
    <w:link w:val="Zkladntext4"/>
    <w:pPr>
      <w:shd w:val="clear" w:color="auto" w:fill="FFFFFF"/>
      <w:spacing w:line="199" w:lineRule="auto"/>
      <w:jc w:val="right"/>
    </w:pPr>
    <w:rPr>
      <w:rFonts w:ascii="Arial" w:eastAsia="Arial" w:hAnsi="Arial" w:cs="Arial"/>
      <w:sz w:val="22"/>
      <w:szCs w:val="22"/>
      <w:u w:val="single"/>
    </w:rPr>
  </w:style>
  <w:style w:type="paragraph" w:customStyle="1" w:styleId="Zkladntext20">
    <w:name w:val="Základní text (2)"/>
    <w:basedOn w:val="Normln"/>
    <w:link w:val="Zkladntext2"/>
    <w:pPr>
      <w:shd w:val="clear" w:color="auto" w:fill="FFFFFF"/>
      <w:spacing w:line="192" w:lineRule="auto"/>
      <w:jc w:val="right"/>
    </w:pPr>
    <w:rPr>
      <w:rFonts w:ascii="Arial" w:eastAsia="Arial" w:hAnsi="Arial" w:cs="Arial"/>
      <w:sz w:val="13"/>
      <w:szCs w:val="13"/>
    </w:rPr>
  </w:style>
  <w:style w:type="paragraph" w:styleId="Textbubliny">
    <w:name w:val="Balloon Text"/>
    <w:basedOn w:val="Normln"/>
    <w:link w:val="TextbublinyChar"/>
    <w:uiPriority w:val="99"/>
    <w:semiHidden/>
    <w:unhideWhenUsed/>
    <w:rsid w:val="004B3D67"/>
    <w:rPr>
      <w:rFonts w:ascii="Tahoma" w:hAnsi="Tahoma" w:cs="Tahoma"/>
      <w:sz w:val="16"/>
      <w:szCs w:val="16"/>
    </w:rPr>
  </w:style>
  <w:style w:type="character" w:customStyle="1" w:styleId="TextbublinyChar">
    <w:name w:val="Text bubliny Char"/>
    <w:basedOn w:val="Standardnpsmoodstavce"/>
    <w:link w:val="Textbubliny"/>
    <w:uiPriority w:val="99"/>
    <w:semiHidden/>
    <w:rsid w:val="004B3D6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raha@rl.cz" TargetMode="External"/><Relationship Id="rId13" Type="http://schemas.openxmlformats.org/officeDocument/2006/relationships/hyperlink" Target="http://www.rl.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aha@rl.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rl.cz" TargetMode="External"/><Relationship Id="rId14"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1950</Words>
  <Characters>11507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Valová</dc:creator>
  <cp:lastModifiedBy>Marcela Valová</cp:lastModifiedBy>
  <cp:revision>2</cp:revision>
  <dcterms:created xsi:type="dcterms:W3CDTF">2021-11-22T11:43:00Z</dcterms:created>
  <dcterms:modified xsi:type="dcterms:W3CDTF">2021-11-22T11:43:00Z</dcterms:modified>
</cp:coreProperties>
</file>