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848C" w14:textId="77777777" w:rsidR="00A87951" w:rsidRPr="004F47AA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F47AA">
        <w:rPr>
          <w:rFonts w:asciiTheme="minorHAnsi" w:hAnsiTheme="minorHAnsi" w:cstheme="minorHAnsi"/>
          <w:b/>
          <w:sz w:val="32"/>
          <w:szCs w:val="32"/>
        </w:rPr>
        <w:t>KUPNÍ SMLOUVA</w:t>
      </w:r>
    </w:p>
    <w:p w14:paraId="443AC062" w14:textId="77777777" w:rsidR="00A87951" w:rsidRPr="004F47AA" w:rsidRDefault="00A87951" w:rsidP="00A87951">
      <w:pPr>
        <w:pStyle w:val="Nzev"/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 xml:space="preserve">uzavřená dle </w:t>
      </w:r>
      <w:proofErr w:type="spellStart"/>
      <w:r w:rsidRPr="004F47A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F47AA">
        <w:rPr>
          <w:rFonts w:asciiTheme="minorHAnsi" w:hAnsiTheme="minorHAnsi" w:cstheme="minorHAnsi"/>
          <w:sz w:val="22"/>
          <w:szCs w:val="22"/>
        </w:rPr>
        <w:t>. § 2079 a násl. zákona č. 89/2012 Sb., občanský zákoník</w:t>
      </w:r>
      <w:r w:rsidR="000A0461" w:rsidRPr="004F47AA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1CF33B0F" w14:textId="77777777" w:rsidR="000B3C33" w:rsidRPr="004F47AA" w:rsidRDefault="000B3C33" w:rsidP="00A87951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3A2D5E8E" w14:textId="7C91BB45" w:rsidR="000B3C33" w:rsidRPr="004F47AA" w:rsidRDefault="000B3C33" w:rsidP="00A87951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79913896" w14:textId="77777777" w:rsidR="009A097C" w:rsidRPr="004F47AA" w:rsidRDefault="009E6D48" w:rsidP="000A0461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pict w14:anchorId="6C0B7960">
          <v:rect id="_x0000_i1025" style="width:0;height:1.5pt" o:hralign="center" o:hrstd="t" o:hr="t" fillcolor="#a0a0a0" stroked="f"/>
        </w:pict>
      </w:r>
    </w:p>
    <w:p w14:paraId="5334CBE0" w14:textId="77777777" w:rsidR="00A87951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2B7E341B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Smluvní strany</w:t>
      </w:r>
    </w:p>
    <w:p w14:paraId="23A1C095" w14:textId="77777777" w:rsidR="009A097C" w:rsidRPr="004F47AA" w:rsidRDefault="009A097C" w:rsidP="004508E9">
      <w:pPr>
        <w:widowControl/>
        <w:spacing w:before="120" w:after="120"/>
        <w:ind w:firstLine="567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</w:p>
    <w:p w14:paraId="0F65E6A1" w14:textId="77777777" w:rsidR="00B4496F" w:rsidRPr="004F47AA" w:rsidRDefault="004508E9" w:rsidP="00B4496F">
      <w:pPr>
        <w:widowControl/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proofErr w:type="gramStart"/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 xml:space="preserve">Prodávající:   </w:t>
      </w:r>
      <w:proofErr w:type="gramEnd"/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B4496F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534D6170" w14:textId="77777777" w:rsidR="00B4496F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se sídlem Dvořákova 11, 657 </w:t>
      </w:r>
      <w:proofErr w:type="gram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70  Brno</w:t>
      </w:r>
      <w:proofErr w:type="gramEnd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</w:p>
    <w:p w14:paraId="5A9FF34E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IČ</w:t>
      </w:r>
      <w:r w:rsidR="007B5F56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: 00094820</w:t>
      </w:r>
    </w:p>
    <w:p w14:paraId="4545ED93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DIČ: CZ00094820</w:t>
      </w:r>
    </w:p>
    <w:p w14:paraId="26B7EC02" w14:textId="77777777" w:rsidR="00B4496F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bankovní spojení: </w:t>
      </w:r>
      <w:proofErr w:type="spell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Unicreditbank</w:t>
      </w:r>
      <w:proofErr w:type="spellEnd"/>
    </w:p>
    <w:p w14:paraId="78E5C6C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číslo účtu: 2110126623/2700</w:t>
      </w:r>
    </w:p>
    <w:p w14:paraId="2207365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zapsáno </w:t>
      </w:r>
      <w:proofErr w:type="gram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v  OR</w:t>
      </w:r>
      <w:proofErr w:type="gramEnd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vedeném u Krajského soudu v Brně, oddíl </w:t>
      </w:r>
      <w:proofErr w:type="spell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Pr</w:t>
      </w:r>
      <w:proofErr w:type="spellEnd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., vložka 30</w:t>
      </w:r>
    </w:p>
    <w:p w14:paraId="09BC085D" w14:textId="77777777" w:rsidR="00B4496F" w:rsidRPr="004F47AA" w:rsidRDefault="00B4496F" w:rsidP="00B4496F">
      <w:pPr>
        <w:widowControl/>
        <w:ind w:left="1416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zastoupená: MgA. Martinem Glaserem, ředitelem</w:t>
      </w:r>
    </w:p>
    <w:p w14:paraId="0D999514" w14:textId="27F8765E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ve věcech běžného plnění smlouvy: </w:t>
      </w:r>
      <w:r w:rsidR="00C40932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Lenkou Benešovou</w:t>
      </w:r>
    </w:p>
    <w:p w14:paraId="57F8EA12" w14:textId="77777777" w:rsidR="009A097C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 </w:t>
      </w:r>
    </w:p>
    <w:p w14:paraId="03388B29" w14:textId="77777777" w:rsidR="004508E9" w:rsidRPr="004F47AA" w:rsidRDefault="007B5F56" w:rsidP="004508E9">
      <w:pPr>
        <w:widowControl/>
        <w:tabs>
          <w:tab w:val="left" w:pos="1134"/>
          <w:tab w:val="left" w:pos="2127"/>
        </w:tabs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a</w:t>
      </w:r>
    </w:p>
    <w:p w14:paraId="2B3F5679" w14:textId="77777777" w:rsidR="004508E9" w:rsidRPr="004F47AA" w:rsidRDefault="004508E9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37E52ABD" w14:textId="77777777" w:rsidR="009A097C" w:rsidRPr="004F47AA" w:rsidRDefault="009A097C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3A29D117" w14:textId="5BEF18AD" w:rsidR="009B41F4" w:rsidRPr="009B41F4" w:rsidRDefault="004508E9" w:rsidP="007B5F5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Kupující: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proofErr w:type="spellStart"/>
      <w:r w:rsidR="00306136">
        <w:rPr>
          <w:rFonts w:asciiTheme="minorHAnsi" w:hAnsiTheme="minorHAnsi" w:cstheme="minorHAnsi"/>
          <w:b/>
          <w:bCs/>
          <w:sz w:val="22"/>
          <w:szCs w:val="22"/>
        </w:rPr>
        <w:t>Jihomoravský</w:t>
      </w:r>
      <w:proofErr w:type="spellEnd"/>
      <w:r w:rsidR="00C40932" w:rsidRPr="00C409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40932" w:rsidRPr="00C40932">
        <w:rPr>
          <w:rFonts w:asciiTheme="minorHAnsi" w:hAnsiTheme="minorHAnsi" w:cstheme="minorHAnsi"/>
          <w:b/>
          <w:bCs/>
          <w:sz w:val="22"/>
          <w:szCs w:val="22"/>
        </w:rPr>
        <w:t>kraj</w:t>
      </w:r>
      <w:proofErr w:type="spellEnd"/>
    </w:p>
    <w:p w14:paraId="472D17BB" w14:textId="4E017C15" w:rsidR="00C40932" w:rsidRPr="00C40932" w:rsidRDefault="00C40932" w:rsidP="007B5F56">
      <w:pPr>
        <w:rPr>
          <w:rFonts w:asciiTheme="minorHAnsi" w:hAnsiTheme="minorHAnsi" w:cstheme="minorHAnsi"/>
          <w:sz w:val="22"/>
          <w:szCs w:val="22"/>
        </w:rPr>
      </w:pPr>
      <w:r>
        <w:t xml:space="preserve">                    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Žerotínovo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náměstí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449/3, 601 82 Brno</w:t>
      </w:r>
      <w:r w:rsidR="007B5F56" w:rsidRPr="00C40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78745" w14:textId="72B6C375" w:rsidR="007B5F56" w:rsidRPr="00C40932" w:rsidRDefault="004F47AA" w:rsidP="007B5F56">
      <w:pPr>
        <w:rPr>
          <w:rFonts w:asciiTheme="minorHAnsi" w:hAnsiTheme="minorHAnsi" w:cstheme="minorHAnsi"/>
          <w:sz w:val="22"/>
          <w:szCs w:val="22"/>
        </w:rPr>
      </w:pPr>
      <w:r w:rsidRPr="00C40932">
        <w:rPr>
          <w:rFonts w:asciiTheme="minorHAnsi" w:hAnsiTheme="minorHAnsi" w:cstheme="minorHAnsi"/>
          <w:sz w:val="22"/>
          <w:szCs w:val="22"/>
        </w:rPr>
        <w:tab/>
      </w:r>
      <w:r w:rsidRPr="00C40932">
        <w:rPr>
          <w:rFonts w:asciiTheme="minorHAnsi" w:hAnsiTheme="minorHAnsi" w:cstheme="minorHAnsi"/>
          <w:sz w:val="22"/>
          <w:szCs w:val="22"/>
        </w:rPr>
        <w:tab/>
      </w:r>
      <w:r w:rsidR="007B5F56" w:rsidRPr="00C40932">
        <w:rPr>
          <w:rFonts w:asciiTheme="minorHAnsi" w:hAnsiTheme="minorHAnsi" w:cstheme="minorHAnsi"/>
          <w:sz w:val="22"/>
          <w:szCs w:val="22"/>
        </w:rPr>
        <w:t xml:space="preserve">IČO: </w:t>
      </w:r>
      <w:r w:rsidR="00C40932" w:rsidRPr="00C40932">
        <w:rPr>
          <w:rFonts w:asciiTheme="minorHAnsi" w:hAnsiTheme="minorHAnsi" w:cstheme="minorHAnsi"/>
          <w:sz w:val="22"/>
          <w:szCs w:val="22"/>
        </w:rPr>
        <w:t>70888337</w:t>
      </w:r>
    </w:p>
    <w:p w14:paraId="108D4EB7" w14:textId="22713F54" w:rsidR="007B5F56" w:rsidRPr="00C40932" w:rsidRDefault="007B5F56" w:rsidP="007B5F56">
      <w:pPr>
        <w:rPr>
          <w:rFonts w:asciiTheme="minorHAnsi" w:hAnsiTheme="minorHAnsi" w:cstheme="minorHAnsi"/>
          <w:sz w:val="22"/>
          <w:szCs w:val="22"/>
        </w:rPr>
      </w:pPr>
      <w:r w:rsidRPr="00C40932">
        <w:rPr>
          <w:rFonts w:asciiTheme="minorHAnsi" w:hAnsiTheme="minorHAnsi" w:cstheme="minorHAnsi"/>
          <w:sz w:val="22"/>
          <w:szCs w:val="22"/>
        </w:rPr>
        <w:t xml:space="preserve">    </w:t>
      </w:r>
      <w:r w:rsidRPr="00C40932">
        <w:rPr>
          <w:rFonts w:asciiTheme="minorHAnsi" w:hAnsiTheme="minorHAnsi" w:cstheme="minorHAnsi"/>
          <w:sz w:val="22"/>
          <w:szCs w:val="22"/>
        </w:rPr>
        <w:tab/>
      </w:r>
      <w:r w:rsidRPr="00C40932">
        <w:rPr>
          <w:rFonts w:asciiTheme="minorHAnsi" w:hAnsiTheme="minorHAnsi" w:cstheme="minorHAnsi"/>
          <w:sz w:val="22"/>
          <w:szCs w:val="22"/>
        </w:rPr>
        <w:tab/>
        <w:t>DIČ:</w:t>
      </w:r>
      <w:r w:rsidR="00C40932" w:rsidRPr="00C40932">
        <w:rPr>
          <w:rFonts w:asciiTheme="minorHAnsi" w:hAnsiTheme="minorHAnsi" w:cstheme="minorHAnsi"/>
          <w:sz w:val="22"/>
          <w:szCs w:val="22"/>
        </w:rPr>
        <w:t xml:space="preserve"> CZ70888337</w:t>
      </w:r>
    </w:p>
    <w:p w14:paraId="6D972DE3" w14:textId="3F6E4EEB" w:rsidR="00C40932" w:rsidRPr="00C40932" w:rsidRDefault="00C40932" w:rsidP="007B5F56">
      <w:pPr>
        <w:rPr>
          <w:rFonts w:asciiTheme="minorHAnsi" w:hAnsiTheme="minorHAnsi" w:cstheme="minorHAnsi"/>
          <w:sz w:val="22"/>
          <w:szCs w:val="22"/>
        </w:rPr>
      </w:pPr>
      <w:r w:rsidRPr="00C40932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bankovní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spojení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Komerční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banka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, a. s. </w:t>
      </w:r>
    </w:p>
    <w:p w14:paraId="181184A5" w14:textId="0ADE5ED9" w:rsidR="007B5F56" w:rsidRPr="00C40932" w:rsidRDefault="00C40932" w:rsidP="00C40932">
      <w:pPr>
        <w:rPr>
          <w:rFonts w:asciiTheme="minorHAnsi" w:hAnsiTheme="minorHAnsi" w:cstheme="minorHAnsi"/>
          <w:sz w:val="22"/>
          <w:szCs w:val="22"/>
        </w:rPr>
      </w:pPr>
      <w:r w:rsidRPr="00C40932">
        <w:rPr>
          <w:rFonts w:asciiTheme="minorHAnsi" w:hAnsiTheme="minorHAnsi" w:cstheme="minorHAnsi"/>
          <w:sz w:val="22"/>
          <w:szCs w:val="22"/>
        </w:rPr>
        <w:tab/>
      </w:r>
      <w:r w:rsidRPr="00C40932">
        <w:rPr>
          <w:rFonts w:asciiTheme="minorHAnsi" w:hAnsiTheme="minorHAnsi" w:cstheme="minorHAnsi"/>
          <w:sz w:val="22"/>
          <w:szCs w:val="22"/>
        </w:rPr>
        <w:tab/>
      </w:r>
      <w:r w:rsidRPr="00C40932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číslo účtu: </w:t>
      </w:r>
      <w:r w:rsidR="00306136" w:rsidRPr="00306136">
        <w:rPr>
          <w:rFonts w:asciiTheme="minorHAnsi" w:hAnsiTheme="minorHAnsi" w:cstheme="minorHAnsi"/>
          <w:sz w:val="22"/>
          <w:szCs w:val="22"/>
        </w:rPr>
        <w:t>27-7493170287/0100</w:t>
      </w:r>
    </w:p>
    <w:p w14:paraId="5B14D015" w14:textId="6B35E8E2" w:rsidR="00C40932" w:rsidRPr="00C40932" w:rsidRDefault="007B5F56" w:rsidP="00C40932">
      <w:pPr>
        <w:ind w:left="708"/>
        <w:rPr>
          <w:rFonts w:asciiTheme="minorHAnsi" w:hAnsiTheme="minorHAnsi" w:cstheme="minorHAnsi"/>
          <w:sz w:val="22"/>
          <w:szCs w:val="22"/>
        </w:rPr>
      </w:pPr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r w:rsidR="00C40932" w:rsidRPr="00C409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zastou</w:t>
      </w:r>
      <w:r w:rsidR="00A76E31" w:rsidRPr="00C40932">
        <w:rPr>
          <w:rFonts w:asciiTheme="minorHAnsi" w:hAnsiTheme="minorHAnsi" w:cstheme="minorHAnsi"/>
          <w:sz w:val="22"/>
          <w:szCs w:val="22"/>
        </w:rPr>
        <w:t>pen</w:t>
      </w:r>
      <w:r w:rsidR="00CE229B">
        <w:rPr>
          <w:rFonts w:asciiTheme="minorHAnsi" w:hAnsiTheme="minorHAnsi" w:cstheme="minorHAnsi"/>
          <w:sz w:val="22"/>
          <w:szCs w:val="22"/>
        </w:rPr>
        <w:t>ý</w:t>
      </w:r>
      <w:proofErr w:type="spellEnd"/>
      <w:r w:rsidR="00A76E31" w:rsidRPr="00C4093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JUDr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Romanem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Heinzem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Ph.D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ředitelem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Krajského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932" w:rsidRPr="00C40932">
        <w:rPr>
          <w:rFonts w:asciiTheme="minorHAnsi" w:hAnsiTheme="minorHAnsi" w:cstheme="minorHAnsi"/>
          <w:sz w:val="22"/>
          <w:szCs w:val="22"/>
        </w:rPr>
        <w:t>úřadu</w:t>
      </w:r>
      <w:proofErr w:type="spellEnd"/>
      <w:r w:rsidR="00C40932" w:rsidRPr="00C4093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E085934" w14:textId="7CAFF224" w:rsidR="007B5F56" w:rsidRPr="00C40932" w:rsidRDefault="00C40932" w:rsidP="00C40932">
      <w:pPr>
        <w:ind w:left="708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C409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Jihomoravského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0932">
        <w:rPr>
          <w:rFonts w:asciiTheme="minorHAnsi" w:hAnsiTheme="minorHAnsi" w:cstheme="minorHAnsi"/>
          <w:sz w:val="22"/>
          <w:szCs w:val="22"/>
        </w:rPr>
        <w:t>kraje</w:t>
      </w:r>
      <w:proofErr w:type="spellEnd"/>
      <w:r w:rsidRPr="00C409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1152F2EA" w14:textId="77777777" w:rsidR="00413F5B" w:rsidRPr="004F47AA" w:rsidRDefault="00413F5B" w:rsidP="004508E9">
      <w:pPr>
        <w:widowControl/>
        <w:spacing w:line="360" w:lineRule="atLeast"/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</w:pPr>
    </w:p>
    <w:p w14:paraId="363DB860" w14:textId="77777777" w:rsidR="00A87951" w:rsidRPr="004F47AA" w:rsidRDefault="00A87951" w:rsidP="00A87951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0BA5" w14:textId="77777777" w:rsidR="00A87951" w:rsidRPr="004F47AA" w:rsidRDefault="00A87951" w:rsidP="00A87951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 smlouvy</w:t>
      </w:r>
    </w:p>
    <w:p w14:paraId="6CE6B1CC" w14:textId="0418EE59" w:rsidR="00B4496F" w:rsidRPr="004F47AA" w:rsidRDefault="004508E9" w:rsidP="004C7BA3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Prodávající se tímto zavazuje dodat kupujícímu </w:t>
      </w:r>
      <w:r w:rsidR="005B34A5">
        <w:rPr>
          <w:rFonts w:asciiTheme="minorHAnsi" w:hAnsiTheme="minorHAnsi" w:cstheme="minorHAnsi"/>
          <w:sz w:val="22"/>
          <w:szCs w:val="22"/>
          <w:lang w:val="cs-CZ"/>
        </w:rPr>
        <w:t>167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ks </w:t>
      </w:r>
      <w:r w:rsidR="00D2463C">
        <w:rPr>
          <w:rFonts w:asciiTheme="minorHAnsi" w:hAnsiTheme="minorHAnsi" w:cstheme="minorHAnsi"/>
          <w:sz w:val="22"/>
          <w:szCs w:val="22"/>
          <w:lang w:val="cs-CZ"/>
        </w:rPr>
        <w:t xml:space="preserve"> vstupenek</w:t>
      </w:r>
      <w:proofErr w:type="gramEnd"/>
      <w:r w:rsidR="00D2463C">
        <w:rPr>
          <w:rFonts w:asciiTheme="minorHAnsi" w:hAnsiTheme="minorHAnsi" w:cstheme="minorHAnsi"/>
          <w:sz w:val="22"/>
          <w:szCs w:val="22"/>
          <w:lang w:val="cs-CZ"/>
        </w:rPr>
        <w:t xml:space="preserve"> do </w:t>
      </w:r>
      <w:r w:rsidR="005B34A5">
        <w:rPr>
          <w:rFonts w:asciiTheme="minorHAnsi" w:hAnsiTheme="minorHAnsi" w:cstheme="minorHAnsi"/>
          <w:sz w:val="22"/>
          <w:szCs w:val="22"/>
          <w:lang w:val="cs-CZ"/>
        </w:rPr>
        <w:t>Janáčkova</w:t>
      </w:r>
      <w:r w:rsidR="00C40932">
        <w:rPr>
          <w:rFonts w:asciiTheme="minorHAnsi" w:hAnsiTheme="minorHAnsi" w:cstheme="minorHAnsi"/>
          <w:sz w:val="22"/>
          <w:szCs w:val="22"/>
          <w:lang w:val="cs-CZ"/>
        </w:rPr>
        <w:t xml:space="preserve"> divadla</w:t>
      </w:r>
      <w:r w:rsidR="007B5F5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v Brně </w:t>
      </w:r>
      <w:r w:rsidR="000A0461" w:rsidRPr="004F47AA">
        <w:rPr>
          <w:rFonts w:asciiTheme="minorHAnsi" w:hAnsiTheme="minorHAnsi" w:cstheme="minorHAnsi"/>
          <w:sz w:val="22"/>
          <w:szCs w:val="22"/>
          <w:lang w:val="cs-CZ"/>
        </w:rPr>
        <w:t>a to na představení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B34A5">
        <w:rPr>
          <w:rFonts w:asciiTheme="minorHAnsi" w:hAnsiTheme="minorHAnsi" w:cstheme="minorHAnsi"/>
          <w:sz w:val="22"/>
          <w:szCs w:val="22"/>
          <w:lang w:val="cs-CZ"/>
        </w:rPr>
        <w:t>Louskáček</w:t>
      </w:r>
      <w:r w:rsidR="00076BAF" w:rsidRPr="004F47AA">
        <w:rPr>
          <w:rFonts w:asciiTheme="minorHAnsi" w:hAnsiTheme="minorHAnsi" w:cstheme="minorHAnsi"/>
          <w:sz w:val="22"/>
          <w:szCs w:val="22"/>
          <w:lang w:val="cs-CZ"/>
        </w:rPr>
        <w:t>, které se bude konat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1B066A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>ter</w:t>
      </w:r>
      <w:r w:rsidR="00D2463C">
        <w:rPr>
          <w:rFonts w:asciiTheme="minorHAnsi" w:hAnsiTheme="minorHAnsi" w:cstheme="minorHAnsi"/>
          <w:sz w:val="22"/>
          <w:szCs w:val="22"/>
          <w:lang w:val="cs-CZ"/>
        </w:rPr>
        <w:t xml:space="preserve">mínu </w:t>
      </w:r>
      <w:r w:rsidR="005B34A5">
        <w:rPr>
          <w:rFonts w:asciiTheme="minorHAnsi" w:hAnsiTheme="minorHAnsi" w:cstheme="minorHAnsi"/>
          <w:sz w:val="22"/>
          <w:szCs w:val="22"/>
          <w:lang w:val="cs-CZ"/>
        </w:rPr>
        <w:t>1. 12. 2021</w:t>
      </w:r>
      <w:r w:rsidR="00C409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B34A5">
        <w:rPr>
          <w:rFonts w:asciiTheme="minorHAnsi" w:hAnsiTheme="minorHAnsi" w:cstheme="minorHAnsi"/>
          <w:sz w:val="22"/>
          <w:szCs w:val="22"/>
          <w:lang w:val="cs-CZ"/>
        </w:rPr>
        <w:t>v 18</w:t>
      </w:r>
      <w:r w:rsidR="00142724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hodin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(dále též „předmět koupě“)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693FDEDC" w14:textId="19C1D113" w:rsidR="004508E9" w:rsidRDefault="004508E9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Kupující se zavazuje za dodaný předmět koupě zaplatit cenu ve výši a způsobem stanoveným v čl. </w:t>
      </w:r>
      <w:r w:rsidR="00BD6EA0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III</w:t>
      </w:r>
      <w:r w:rsidR="002B4345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smlouvy.</w:t>
      </w:r>
    </w:p>
    <w:p w14:paraId="3B7E934E" w14:textId="680C2C6B" w:rsidR="00CE229B" w:rsidRPr="004F47AA" w:rsidRDefault="00CE229B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Specifikace vstupenek je přílohou č. 1 této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kupní smlouvy</w:t>
      </w:r>
      <w:r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</w:p>
    <w:p w14:paraId="37E55737" w14:textId="77777777" w:rsidR="00A87951" w:rsidRPr="004F47AA" w:rsidRDefault="00A87951" w:rsidP="00A76E31">
      <w:pPr>
        <w:pStyle w:val="nadpisvesmlouvch"/>
        <w:ind w:left="720"/>
        <w:jc w:val="left"/>
        <w:rPr>
          <w:rFonts w:asciiTheme="minorHAnsi" w:hAnsiTheme="minorHAnsi" w:cstheme="minorHAnsi"/>
        </w:rPr>
      </w:pPr>
    </w:p>
    <w:p w14:paraId="744FA0D5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Kupní cena</w:t>
      </w:r>
    </w:p>
    <w:p w14:paraId="2DDA1300" w14:textId="77777777" w:rsidR="004508E9" w:rsidRPr="004F47AA" w:rsidRDefault="004508E9" w:rsidP="004508E9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2217B826" w14:textId="77777777" w:rsidR="004508E9" w:rsidRPr="004F47AA" w:rsidRDefault="004508E9" w:rsidP="004508E9">
      <w:pPr>
        <w:widowControl/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030058C8" w14:textId="02BE742F" w:rsidR="004508E9" w:rsidRDefault="002B4345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Theme="minorHAnsi" w:hAnsiTheme="minorHAnsi" w:cstheme="minorHAnsi"/>
          <w:b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 xml:space="preserve">Celková </w:t>
      </w:r>
      <w:proofErr w:type="gramStart"/>
      <w:r w:rsidR="004508E9"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>cena</w:t>
      </w:r>
      <w:r w:rsidR="004508E9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:</w:t>
      </w:r>
      <w:r w:rsidR="00D2463C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 </w:t>
      </w:r>
      <w:r w:rsidR="00D2463C">
        <w:rPr>
          <w:rFonts w:asciiTheme="minorHAnsi" w:hAnsiTheme="minorHAnsi" w:cstheme="minorHAnsi"/>
          <w:b/>
          <w:sz w:val="22"/>
          <w:szCs w:val="22"/>
          <w:lang w:val="cs-CZ" w:eastAsia="cs-CZ"/>
        </w:rPr>
        <w:tab/>
      </w:r>
      <w:proofErr w:type="gramEnd"/>
      <w:r w:rsidR="005B34A5">
        <w:rPr>
          <w:rFonts w:asciiTheme="minorHAnsi" w:hAnsiTheme="minorHAnsi" w:cstheme="minorHAnsi"/>
          <w:b/>
          <w:sz w:val="22"/>
          <w:szCs w:val="22"/>
          <w:lang w:val="cs-CZ" w:eastAsia="cs-CZ"/>
        </w:rPr>
        <w:t>74 844</w:t>
      </w:r>
      <w:r w:rsidR="004508E9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,- Kč</w:t>
      </w:r>
      <w:r w:rsidR="00344BB2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</w:t>
      </w:r>
      <w:r w:rsidR="00630F60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osvobozeno od DPH</w:t>
      </w:r>
    </w:p>
    <w:p w14:paraId="22A5CB15" w14:textId="77777777" w:rsidR="00A76E31" w:rsidRPr="004F47AA" w:rsidRDefault="00A76E31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</w:pPr>
    </w:p>
    <w:p w14:paraId="3F5AB55E" w14:textId="77777777" w:rsidR="00FD6320" w:rsidRPr="004F47AA" w:rsidRDefault="00FD6320" w:rsidP="00FD6320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lastRenderedPageBreak/>
        <w:t>Celková</w:t>
      </w:r>
      <w:r w:rsidR="00280A6B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dopravu předmětu koupě do místa plnění.</w:t>
      </w:r>
    </w:p>
    <w:p w14:paraId="15ECA049" w14:textId="5BD112EB" w:rsidR="009A097C" w:rsidRDefault="002B4345" w:rsidP="002B4345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Kupní cena uvedená v čl. III. odst. 1 smlouvy je v souladu s § 61 písm. e) zákona č. 235/2004 Sb., o dani z přidané hodnoty, ve znění pozdějších předpisů</w:t>
      </w:r>
      <w:r w:rsidR="000A0461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,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osvobozena od daně z přidané hodnoty.</w:t>
      </w:r>
    </w:p>
    <w:p w14:paraId="7ECFA34D" w14:textId="77777777" w:rsidR="004F47AA" w:rsidRPr="004F47AA" w:rsidRDefault="004F47AA" w:rsidP="004F47AA">
      <w:pPr>
        <w:widowControl/>
        <w:spacing w:before="120" w:after="12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31CDBF6D" w14:textId="77777777" w:rsidR="00A87951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3D358733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Platební podmínky</w:t>
      </w:r>
    </w:p>
    <w:p w14:paraId="464F2B36" w14:textId="79781FE3" w:rsidR="007B5F56" w:rsidRPr="004F47AA" w:rsidRDefault="004508E9" w:rsidP="004F47AA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Kupní cena</w:t>
      </w:r>
      <w:r w:rsidR="00306136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306136">
        <w:rPr>
          <w:rFonts w:asciiTheme="minorHAnsi" w:hAnsiTheme="minorHAnsi" w:cstheme="minorHAnsi"/>
          <w:b/>
          <w:sz w:val="22"/>
          <w:szCs w:val="22"/>
          <w:lang w:val="cs-CZ" w:eastAsia="cs-CZ"/>
        </w:rPr>
        <w:t>74 844</w:t>
      </w:r>
      <w:r w:rsidR="00306136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,- Kč</w:t>
      </w:r>
      <w:r w:rsidR="00306136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bez DPH, </w:t>
      </w:r>
      <w:r w:rsidR="00306136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splatná po fyzickém převzetí 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předmětu koupě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proofErr w:type="gram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kupujícím</w:t>
      </w:r>
      <w:proofErr w:type="gramEnd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a to na základě faktury vystavené prodávajícím.</w:t>
      </w:r>
    </w:p>
    <w:p w14:paraId="4ABDBAC9" w14:textId="64F975CE" w:rsidR="00063B55" w:rsidRPr="004F47AA" w:rsidRDefault="00063B55" w:rsidP="004F47AA">
      <w:pPr>
        <w:pStyle w:val="Odstavecseseznamem"/>
        <w:numPr>
          <w:ilvl w:val="0"/>
          <w:numId w:val="10"/>
        </w:numPr>
        <w:ind w:right="-92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 xml:space="preserve">Faktura je daňovým dokladem a musí být vystavena v souladu s § 28 zákona č. 235/2004 Sb., o dani z přidané hodnoty, ve znění pozdějších předpisů. Prodávající se zavazuje dodat fakturu kupujícímu </w:t>
      </w:r>
      <w:r w:rsidR="00076BAF" w:rsidRPr="004F47AA">
        <w:rPr>
          <w:rFonts w:asciiTheme="minorHAnsi" w:hAnsiTheme="minorHAnsi" w:cstheme="minorHAnsi"/>
          <w:sz w:val="22"/>
        </w:rPr>
        <w:t>n</w:t>
      </w:r>
      <w:r w:rsidRPr="004F47AA">
        <w:rPr>
          <w:rFonts w:asciiTheme="minorHAnsi" w:hAnsiTheme="minorHAnsi" w:cstheme="minorHAnsi"/>
          <w:sz w:val="22"/>
        </w:rPr>
        <w:t xml:space="preserve">a </w:t>
      </w:r>
      <w:r w:rsidR="007B5F56" w:rsidRPr="004F47AA">
        <w:rPr>
          <w:rFonts w:asciiTheme="minorHAnsi" w:hAnsiTheme="minorHAnsi" w:cstheme="minorHAnsi"/>
          <w:sz w:val="22"/>
        </w:rPr>
        <w:t xml:space="preserve">adresu sídla společnosti </w:t>
      </w:r>
      <w:r w:rsidR="009B41F4" w:rsidRPr="00C40932">
        <w:rPr>
          <w:rFonts w:asciiTheme="minorHAnsi" w:hAnsiTheme="minorHAnsi" w:cstheme="minorHAnsi"/>
          <w:sz w:val="22"/>
          <w:szCs w:val="22"/>
        </w:rPr>
        <w:t>Žerotínovo náměstí 449/3, 601 82 Brno</w:t>
      </w:r>
    </w:p>
    <w:p w14:paraId="6BB392B9" w14:textId="77777777" w:rsidR="004508E9" w:rsidRPr="004F47AA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 ve znění pozdějších předpisů,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a nebude tak v prodlení s úhradou ceny zboží. Pokud by kupujícímu vzniklo ručení v souvislosti s neplněním povinnosti prodávajícího vyplývajících ze zákona č.</w:t>
      </w:r>
      <w:r w:rsidR="00076BAF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235/2004 Sb., o dani z přidané hodnoty,</w:t>
      </w:r>
      <w:r w:rsidR="00C10A02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ve znění pozdějších předpisů,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má kupující nárok na náhradu všeho, co za prodávajícího v souvislosti s tímto ručením plnil.</w:t>
      </w:r>
    </w:p>
    <w:p w14:paraId="6310BE03" w14:textId="77777777" w:rsidR="004508E9" w:rsidRPr="004F47AA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14566E35" w14:textId="32EC48FF" w:rsidR="004508E9" w:rsidRPr="004F47AA" w:rsidRDefault="00CE5FBA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F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aktura bude mít splatnost </w:t>
      </w:r>
      <w:r w:rsidR="000977B3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30 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dnů od jejího doručení kupujícímu.</w:t>
      </w:r>
    </w:p>
    <w:p w14:paraId="52CE970F" w14:textId="031CFDF0" w:rsidR="00063B55" w:rsidRPr="004F47AA" w:rsidRDefault="00063B55" w:rsidP="00063B55">
      <w:pPr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Prodávající se zavazuje uvádět na všech daňových dokladech (fakturách) číslo smlouvy kupujícího.</w:t>
      </w:r>
    </w:p>
    <w:p w14:paraId="5A85EFF1" w14:textId="77777777" w:rsidR="009A097C" w:rsidRPr="004F47AA" w:rsidRDefault="009A097C" w:rsidP="009A097C">
      <w:pPr>
        <w:widowControl/>
        <w:spacing w:before="120" w:after="120"/>
        <w:ind w:left="711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5F52D40E" w14:textId="77777777" w:rsidR="004508E9" w:rsidRPr="004F47AA" w:rsidRDefault="004508E9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079DFF52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 xml:space="preserve">Termín dodání a místo </w:t>
      </w:r>
      <w:r w:rsidR="00166AD6" w:rsidRPr="004F47AA">
        <w:rPr>
          <w:rFonts w:asciiTheme="minorHAnsi" w:hAnsiTheme="minorHAnsi" w:cstheme="minorHAnsi"/>
        </w:rPr>
        <w:t>dodání</w:t>
      </w:r>
    </w:p>
    <w:p w14:paraId="5358A549" w14:textId="30606D83" w:rsidR="004508E9" w:rsidRPr="004F47AA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neprodleně po podpisu smlouvy</w:t>
      </w:r>
      <w:r w:rsidR="006438A6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, nejpozději do 3 pracovních dnů od </w:t>
      </w:r>
      <w:r w:rsidR="00CE229B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účinnosti</w:t>
      </w:r>
      <w:r w:rsidR="006438A6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smlouvy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.  Kupující je povinen </w:t>
      </w:r>
      <w:r w:rsidR="003252EC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předmět koupě na místě dodání 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odebrat na základě výzvy </w:t>
      </w:r>
      <w:r w:rsidR="0019724E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prodávajícího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bez zbytečného odkladu.</w:t>
      </w:r>
    </w:p>
    <w:p w14:paraId="77E64CF0" w14:textId="300381A4" w:rsidR="004508E9" w:rsidRPr="004F47AA" w:rsidRDefault="004508E9" w:rsidP="0040193C">
      <w:pPr>
        <w:widowControl/>
        <w:numPr>
          <w:ilvl w:val="0"/>
          <w:numId w:val="5"/>
        </w:numPr>
        <w:tabs>
          <w:tab w:val="clear" w:pos="928"/>
          <w:tab w:val="num" w:pos="567"/>
          <w:tab w:val="left" w:pos="993"/>
        </w:tabs>
        <w:snapToGrid w:val="0"/>
        <w:spacing w:before="120" w:after="120"/>
        <w:ind w:left="0" w:firstLine="567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Předmět koupě je opr</w:t>
      </w:r>
      <w:r w:rsidR="00944A29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ávněn jménem kupujícího odebrat </w:t>
      </w:r>
      <w:r w:rsidR="00306136" w:rsidRPr="00306136">
        <w:rPr>
          <w:rFonts w:asciiTheme="minorHAnsi" w:hAnsiTheme="minorHAnsi" w:cstheme="minorHAnsi"/>
          <w:bCs/>
          <w:sz w:val="22"/>
          <w:szCs w:val="22"/>
        </w:rPr>
        <w:t>Yveta Koutná</w:t>
      </w:r>
    </w:p>
    <w:p w14:paraId="59227A83" w14:textId="77777777" w:rsidR="004508E9" w:rsidRPr="004F47AA" w:rsidRDefault="004508E9" w:rsidP="0040193C">
      <w:pPr>
        <w:widowControl/>
        <w:numPr>
          <w:ilvl w:val="0"/>
          <w:numId w:val="5"/>
        </w:numPr>
        <w:snapToGrid w:val="0"/>
        <w:spacing w:before="120" w:after="120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 w:rsidRPr="004F47AA">
        <w:rPr>
          <w:rFonts w:asciiTheme="minorHAnsi" w:hAnsiTheme="minorHAnsi" w:cstheme="minorHAnsi"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smlouvy.</w:t>
      </w:r>
    </w:p>
    <w:p w14:paraId="1AC2E004" w14:textId="77777777" w:rsidR="009A097C" w:rsidRPr="004F47AA" w:rsidRDefault="009A097C" w:rsidP="004D03A5">
      <w:pPr>
        <w:widowControl/>
        <w:snapToGrid w:val="0"/>
        <w:spacing w:before="120" w:after="12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4118A68F" w14:textId="77777777" w:rsidR="004508E9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 xml:space="preserve">       </w:t>
      </w:r>
    </w:p>
    <w:p w14:paraId="69BAA32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Vlastnictví</w:t>
      </w:r>
    </w:p>
    <w:p w14:paraId="3810E109" w14:textId="77777777" w:rsidR="004508E9" w:rsidRPr="004F47AA" w:rsidRDefault="004508E9" w:rsidP="004508E9">
      <w:pPr>
        <w:widowControl/>
        <w:numPr>
          <w:ilvl w:val="0"/>
          <w:numId w:val="6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 přechodu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nebezpečí škody na věci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í. </w:t>
      </w:r>
    </w:p>
    <w:p w14:paraId="35853E1A" w14:textId="77777777" w:rsidR="004D03A5" w:rsidRPr="004F47AA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53AC383F" w14:textId="77777777" w:rsidR="005171FF" w:rsidRPr="004F47AA" w:rsidRDefault="005171FF" w:rsidP="00E50787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F6A9B3" w14:textId="77777777" w:rsidR="005171FF" w:rsidRPr="004F47AA" w:rsidRDefault="005171FF" w:rsidP="005171F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Sankce</w:t>
      </w:r>
    </w:p>
    <w:p w14:paraId="61D8DF37" w14:textId="77777777" w:rsidR="00CE5FBA" w:rsidRPr="004F47AA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Jestliže se kupující bezdůvodně opozdí s platbou kupní ceny, je povinen uhradit prodávajícímu úrok z prodlení ve výši 0,05 % z kupní ceny za každý den prodlení.</w:t>
      </w:r>
    </w:p>
    <w:p w14:paraId="57F81ABE" w14:textId="77777777" w:rsidR="00CE5FBA" w:rsidRPr="004F47AA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V případě prodlení prodávajícího s dodáním předmětu koupě bez zavinění kupujícího je prodávající povinen uhradit kupujícímu </w:t>
      </w:r>
      <w:r w:rsidR="00126A5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smluvní pokutu 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ve výši 0,05 % z kupní ceny za každý den prodlení.</w:t>
      </w:r>
    </w:p>
    <w:p w14:paraId="6426DC17" w14:textId="77777777" w:rsidR="00B24DFB" w:rsidRPr="004F47AA" w:rsidRDefault="00CE5FBA" w:rsidP="00814854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Nároky na náhradu škody nejsou dotčeny ani kompenzovány zaplacením sankcí dle této smlouvy.</w:t>
      </w:r>
    </w:p>
    <w:p w14:paraId="41D63BDE" w14:textId="77777777" w:rsidR="004508E9" w:rsidRPr="004F47AA" w:rsidRDefault="004508E9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52C3818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Ukončení smlouvy</w:t>
      </w:r>
    </w:p>
    <w:p w14:paraId="314BDAC6" w14:textId="77777777" w:rsidR="004508E9" w:rsidRPr="004F47AA" w:rsidRDefault="004508E9" w:rsidP="004508E9">
      <w:pPr>
        <w:widowControl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Smlouva může být ukončena jedním z následujících způsobů:</w:t>
      </w:r>
    </w:p>
    <w:p w14:paraId="4614BE83" w14:textId="77777777" w:rsidR="004508E9" w:rsidRPr="004F47AA" w:rsidRDefault="004508E9" w:rsidP="00505AA4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24DD869A" w14:textId="77777777" w:rsidR="007A3E99" w:rsidRPr="004F47AA" w:rsidRDefault="004508E9" w:rsidP="007A3E99">
      <w:pPr>
        <w:widowControl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ro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jehož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účely </w:t>
      </w:r>
      <w:r w:rsidR="007A3E9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se za podstatné porušení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smlouvy ve smyslu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§ 2002 zák. č. 89/2</w:t>
      </w:r>
      <w:r w:rsidR="00E50787" w:rsidRPr="004F47AA">
        <w:rPr>
          <w:rFonts w:asciiTheme="minorHAnsi" w:hAnsiTheme="minorHAnsi" w:cstheme="minorHAnsi"/>
          <w:sz w:val="22"/>
          <w:szCs w:val="22"/>
          <w:lang w:val="cs-CZ"/>
        </w:rPr>
        <w:t>012 Sb., občanského zákoníku, ve znění pozdějších předpisů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, považuje:</w:t>
      </w:r>
    </w:p>
    <w:p w14:paraId="618181B5" w14:textId="77777777" w:rsidR="00166AD6" w:rsidRPr="004F47AA" w:rsidRDefault="00166AD6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vadnost </w:t>
      </w:r>
      <w:r w:rsidR="0069793C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předmětu koupě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již </w:t>
      </w:r>
      <w:r w:rsidR="00505AA4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při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712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jeho 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4059ECB2" w14:textId="77777777" w:rsidR="00166AD6" w:rsidRPr="004F47AA" w:rsidRDefault="0069793C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prodlení s dodávkou předmětu koupě</w:t>
      </w:r>
      <w:r w:rsidR="00166AD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</w:p>
    <w:p w14:paraId="54DA50BD" w14:textId="77777777" w:rsidR="00166AD6" w:rsidRPr="004F47AA" w:rsidRDefault="00166AD6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úpadek kupujícího nebo prodávajícího ve smyslu § 3 zák. č. 182/2006 Sb. insolvenčního zákona, ve znění pozdějších předpisů. </w:t>
      </w:r>
    </w:p>
    <w:p w14:paraId="565847F6" w14:textId="77777777" w:rsidR="005171FF" w:rsidRPr="004F47AA" w:rsidRDefault="00166AD6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</w:t>
      </w:r>
      <w:r w:rsidR="004D03A5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její poslední známou adresu bez ohledu na to, zdali toto oznámení o odstoupení bylo druhou smluvní stranou převzato či nikoliv.</w:t>
      </w:r>
    </w:p>
    <w:p w14:paraId="13CD9863" w14:textId="77777777" w:rsidR="004508E9" w:rsidRPr="004F47AA" w:rsidRDefault="00126A59" w:rsidP="00126A59">
      <w:pPr>
        <w:pStyle w:val="nadpisvesmlouvch"/>
        <w:ind w:left="360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IX.</w:t>
      </w:r>
    </w:p>
    <w:p w14:paraId="515BD6A5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Závěrečná ustanovení</w:t>
      </w:r>
    </w:p>
    <w:p w14:paraId="4B46591F" w14:textId="77777777" w:rsidR="000754D1" w:rsidRPr="004F47AA" w:rsidRDefault="000754D1" w:rsidP="000754D1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>Vztahy v této smlouvě neupravené se řídí příslušnými ustanoveními zákona č. 89/2012 Sb., občanský zákoník</w:t>
      </w:r>
      <w:r w:rsidR="00E50787" w:rsidRPr="004F47AA">
        <w:rPr>
          <w:rFonts w:asciiTheme="minorHAnsi" w:hAnsiTheme="minorHAnsi" w:cstheme="minorHAnsi"/>
          <w:sz w:val="22"/>
        </w:rPr>
        <w:t>, ve znění pozdějších předpisů</w:t>
      </w:r>
      <w:r w:rsidRPr="004F47AA">
        <w:rPr>
          <w:rFonts w:asciiTheme="minorHAnsi" w:hAnsiTheme="minorHAnsi" w:cstheme="minorHAnsi"/>
          <w:sz w:val="22"/>
        </w:rPr>
        <w:t>.</w:t>
      </w:r>
    </w:p>
    <w:p w14:paraId="7D97F430" w14:textId="77777777" w:rsidR="00126A59" w:rsidRPr="004F47AA" w:rsidRDefault="00E50787" w:rsidP="00126A5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Tato smlouva</w:t>
      </w:r>
      <w:r w:rsidR="00126A5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nabývá platnosti </w:t>
      </w:r>
      <w:r w:rsidR="00337D51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dnem </w:t>
      </w:r>
      <w:r w:rsidR="00126A5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jejího podpisu oběma smluvními stranami.</w:t>
      </w:r>
    </w:p>
    <w:p w14:paraId="497FC861" w14:textId="77777777" w:rsidR="005171FF" w:rsidRPr="004F47AA" w:rsidRDefault="00E50787" w:rsidP="00C839C4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 xml:space="preserve"> </w:t>
      </w:r>
      <w:r w:rsidR="00C839C4" w:rsidRPr="004F47AA">
        <w:rPr>
          <w:rFonts w:asciiTheme="minorHAnsi" w:hAnsiTheme="minorHAnsi" w:cstheme="minorHAnsi"/>
          <w:sz w:val="22"/>
        </w:rPr>
        <w:t>Obě smluvní strany berou na vědomí, že smlouva nabývá účinnosti teprve jejím uveřejněním v registru smluv podle zákona č. 340/2015 Sb. (zákon o registru smluv) a souhlasí s</w:t>
      </w:r>
      <w:r w:rsidR="00076BAF" w:rsidRPr="004F47AA">
        <w:rPr>
          <w:rFonts w:asciiTheme="minorHAnsi" w:hAnsiTheme="minorHAnsi" w:cstheme="minorHAnsi"/>
          <w:sz w:val="22"/>
        </w:rPr>
        <w:t> </w:t>
      </w:r>
      <w:r w:rsidR="00C839C4" w:rsidRPr="004F47AA">
        <w:rPr>
          <w:rFonts w:asciiTheme="minorHAnsi" w:hAnsiTheme="minorHAnsi" w:cstheme="minorHAnsi"/>
          <w:sz w:val="22"/>
        </w:rPr>
        <w:t>uveřejněním této smlouvy v registru smluv v úplném znění.</w:t>
      </w:r>
      <w:r w:rsidR="009E468A" w:rsidRPr="004F47AA">
        <w:rPr>
          <w:rFonts w:asciiTheme="minorHAnsi" w:hAnsiTheme="minorHAnsi" w:cstheme="minorHAnsi"/>
          <w:sz w:val="22"/>
        </w:rPr>
        <w:t xml:space="preserve"> Prodávající se zavazuje uveřejnit smlouvu v registru smluv. </w:t>
      </w:r>
    </w:p>
    <w:p w14:paraId="4636FD4A" w14:textId="77777777" w:rsidR="00814854" w:rsidRPr="004F47AA" w:rsidRDefault="00814854" w:rsidP="00814854">
      <w:pPr>
        <w:pStyle w:val="Seznam"/>
        <w:ind w:left="711"/>
        <w:jc w:val="both"/>
        <w:rPr>
          <w:rFonts w:asciiTheme="minorHAnsi" w:hAnsiTheme="minorHAnsi" w:cstheme="minorHAnsi"/>
          <w:sz w:val="22"/>
        </w:rPr>
      </w:pPr>
    </w:p>
    <w:p w14:paraId="469FE7BC" w14:textId="77777777" w:rsidR="000754D1" w:rsidRPr="004F47AA" w:rsidRDefault="000754D1" w:rsidP="000754D1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</w:t>
      </w:r>
    </w:p>
    <w:p w14:paraId="7F89E7B1" w14:textId="77777777" w:rsidR="004508E9" w:rsidRPr="004F47AA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Tuto smlouvu lze měnit pouze číslovanými dodatky podepsanými oběma smluvními stranami.</w:t>
      </w:r>
    </w:p>
    <w:p w14:paraId="688A6DAE" w14:textId="77777777" w:rsidR="004508E9" w:rsidRPr="004F47AA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Obě strany prohlašují, že si smlouvu přečetly, s jejím obsahem souhlasí a že byla sepsána na základě jejich pravé a svobodné vůle, prosté všech omylů.</w:t>
      </w:r>
    </w:p>
    <w:p w14:paraId="219E9A22" w14:textId="22AB9F49" w:rsidR="004508E9" w:rsidRDefault="00E50787" w:rsidP="00D67D83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lastRenderedPageBreak/>
        <w:t>Tato smlouva je vyhotovena ve dvou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stejnopisech, z nichž každý má platnost originálu a</w:t>
      </w:r>
      <w:r w:rsidR="004D03A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každá smluvní strana obdrží po 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jednom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vyhotovení.</w:t>
      </w:r>
    </w:p>
    <w:p w14:paraId="2D0A7934" w14:textId="05D896E3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61213185" w14:textId="517597DA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274F6C8D" w14:textId="77777777" w:rsidR="004F47AA" w:rsidRP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5C8BCFBC" w14:textId="1FF15BC8" w:rsidR="004508E9" w:rsidRPr="004F47AA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V Brně </w:t>
      </w:r>
      <w:r w:rsidR="005D0EEC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dne:</w:t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  <w:t>V Praze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dne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7AAD40C6" w14:textId="16167D1A" w:rsidR="007A3E99" w:rsidRPr="004F47AA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p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rodávající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ho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kupujícího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639AF832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4B307134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C73A5F8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BB2D8EA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C34DFD" w14:paraId="7386906E" w14:textId="77777777" w:rsidTr="0069513F">
        <w:tc>
          <w:tcPr>
            <w:tcW w:w="4719" w:type="dxa"/>
          </w:tcPr>
          <w:p w14:paraId="373836DD" w14:textId="77777777" w:rsidR="004508E9" w:rsidRPr="004F47AA" w:rsidRDefault="004508E9" w:rsidP="00E50787">
            <w:pPr>
              <w:widowControl/>
              <w:spacing w:before="120" w:after="120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029D9C6C" w14:textId="77777777" w:rsidR="004508E9" w:rsidRPr="004F47AA" w:rsidRDefault="00E50787" w:rsidP="00E50787">
            <w:pPr>
              <w:widowControl/>
              <w:spacing w:before="120" w:after="120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              </w:t>
            </w:r>
            <w:r w:rsidR="004508E9"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C34DFD" w14:paraId="3B2008E6" w14:textId="77777777" w:rsidTr="0069513F">
        <w:tc>
          <w:tcPr>
            <w:tcW w:w="4719" w:type="dxa"/>
          </w:tcPr>
          <w:p w14:paraId="0C5FCAD2" w14:textId="77777777" w:rsidR="00E50787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51F49242" w14:textId="77777777" w:rsidR="00D67D83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4D23EC98" w14:textId="318C57C6" w:rsidR="00487AE2" w:rsidRPr="009B41F4" w:rsidRDefault="00E50787" w:rsidP="00A76E31">
            <w:pPr>
              <w:widowControl/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             </w:t>
            </w:r>
            <w:proofErr w:type="spellStart"/>
            <w:r w:rsidR="009B41F4">
              <w:rPr>
                <w:rFonts w:asciiTheme="minorHAnsi" w:hAnsiTheme="minorHAnsi" w:cstheme="minorHAnsi"/>
                <w:sz w:val="22"/>
                <w:szCs w:val="22"/>
              </w:rPr>
              <w:t>JUDr</w:t>
            </w:r>
            <w:proofErr w:type="spellEnd"/>
            <w:r w:rsidR="009B41F4">
              <w:rPr>
                <w:rFonts w:asciiTheme="minorHAnsi" w:hAnsiTheme="minorHAnsi" w:cstheme="minorHAnsi"/>
                <w:sz w:val="22"/>
                <w:szCs w:val="22"/>
              </w:rPr>
              <w:t>. Roman Heinz</w:t>
            </w:r>
            <w:r w:rsidR="009B41F4" w:rsidRPr="009B41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B41F4" w:rsidRPr="009B41F4">
              <w:rPr>
                <w:rFonts w:asciiTheme="minorHAnsi" w:hAnsiTheme="minorHAnsi" w:cstheme="minorHAnsi"/>
                <w:sz w:val="22"/>
                <w:szCs w:val="22"/>
              </w:rPr>
              <w:t>Ph.D</w:t>
            </w:r>
            <w:proofErr w:type="spellEnd"/>
            <w:r w:rsidR="009B41F4" w:rsidRPr="009B41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3861DA" w14:textId="3333B4DB" w:rsidR="00487AE2" w:rsidRPr="009B41F4" w:rsidRDefault="009B41F4" w:rsidP="00944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CE229B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editel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Krajského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úřadu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Jihomoravského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41F4">
              <w:rPr>
                <w:rFonts w:asciiTheme="minorHAnsi" w:hAnsiTheme="minorHAnsi" w:cstheme="minorHAnsi"/>
                <w:sz w:val="22"/>
                <w:szCs w:val="22"/>
              </w:rPr>
              <w:t>kraje</w:t>
            </w:r>
            <w:proofErr w:type="spellEnd"/>
          </w:p>
          <w:p w14:paraId="6C0ED1D8" w14:textId="77777777" w:rsidR="00487AE2" w:rsidRPr="004F47AA" w:rsidRDefault="00487AE2" w:rsidP="00487AE2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   </w:t>
            </w:r>
          </w:p>
          <w:p w14:paraId="0F9529CF" w14:textId="77777777" w:rsidR="00487AE2" w:rsidRPr="004F47AA" w:rsidRDefault="00487AE2" w:rsidP="00487AE2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  <w:p w14:paraId="2579578A" w14:textId="77777777" w:rsidR="00E50787" w:rsidRPr="004F47AA" w:rsidRDefault="00E50787" w:rsidP="00A76E31">
            <w:pP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50787" w:rsidRPr="00C34DFD" w14:paraId="1C9E6BE7" w14:textId="77777777" w:rsidTr="0069513F">
        <w:tc>
          <w:tcPr>
            <w:tcW w:w="4719" w:type="dxa"/>
          </w:tcPr>
          <w:p w14:paraId="57022922" w14:textId="77777777" w:rsidR="00E50787" w:rsidRPr="004F47AA" w:rsidRDefault="00E50787" w:rsidP="00944A29">
            <w:pPr>
              <w:widowControl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08F0E56E" w14:textId="77777777" w:rsidR="00E50787" w:rsidRPr="004F47AA" w:rsidRDefault="00E50787" w:rsidP="004508E9">
            <w:pPr>
              <w:widowControl/>
              <w:ind w:left="2" w:firstLine="1"/>
              <w:jc w:val="center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  <w:tr w:rsidR="00FB7659" w:rsidRPr="00C34DFD" w14:paraId="55888CCF" w14:textId="77777777" w:rsidTr="0069513F">
        <w:tc>
          <w:tcPr>
            <w:tcW w:w="4719" w:type="dxa"/>
          </w:tcPr>
          <w:p w14:paraId="049E4694" w14:textId="77777777" w:rsidR="00FB7659" w:rsidRPr="004F47AA" w:rsidRDefault="00FB7659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47063E15" w14:textId="77777777" w:rsidR="00FB7659" w:rsidRPr="004F47AA" w:rsidRDefault="00FB7659" w:rsidP="004508E9">
            <w:pPr>
              <w:widowControl/>
              <w:ind w:left="2" w:firstLine="1"/>
              <w:jc w:val="center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</w:tbl>
    <w:p w14:paraId="728ED197" w14:textId="77777777" w:rsidR="004508E9" w:rsidRPr="004F47AA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sectPr w:rsidR="004508E9" w:rsidRPr="004F47AA" w:rsidSect="00CF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AF4B" w14:textId="77777777" w:rsidR="009E6D48" w:rsidRDefault="009E6D48" w:rsidP="009A097C">
      <w:r>
        <w:separator/>
      </w:r>
    </w:p>
  </w:endnote>
  <w:endnote w:type="continuationSeparator" w:id="0">
    <w:p w14:paraId="555CD793" w14:textId="77777777" w:rsidR="009E6D48" w:rsidRDefault="009E6D48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E56A" w14:textId="77777777" w:rsidR="009E6D48" w:rsidRDefault="009E6D48" w:rsidP="009A097C">
      <w:r>
        <w:separator/>
      </w:r>
    </w:p>
  </w:footnote>
  <w:footnote w:type="continuationSeparator" w:id="0">
    <w:p w14:paraId="563BE6E1" w14:textId="77777777" w:rsidR="009E6D48" w:rsidRDefault="009E6D48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1F7"/>
    <w:multiLevelType w:val="hybridMultilevel"/>
    <w:tmpl w:val="A9187EF4"/>
    <w:lvl w:ilvl="0" w:tplc="7318049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3" w:hanging="360"/>
      </w:pPr>
    </w:lvl>
    <w:lvl w:ilvl="2" w:tplc="0405001B" w:tentative="1">
      <w:start w:val="1"/>
      <w:numFmt w:val="lowerRoman"/>
      <w:lvlText w:val="%3."/>
      <w:lvlJc w:val="right"/>
      <w:pPr>
        <w:ind w:left="2493" w:hanging="180"/>
      </w:pPr>
    </w:lvl>
    <w:lvl w:ilvl="3" w:tplc="0405000F" w:tentative="1">
      <w:start w:val="1"/>
      <w:numFmt w:val="decimal"/>
      <w:lvlText w:val="%4."/>
      <w:lvlJc w:val="left"/>
      <w:pPr>
        <w:ind w:left="3213" w:hanging="360"/>
      </w:pPr>
    </w:lvl>
    <w:lvl w:ilvl="4" w:tplc="04050019" w:tentative="1">
      <w:start w:val="1"/>
      <w:numFmt w:val="lowerLetter"/>
      <w:lvlText w:val="%5."/>
      <w:lvlJc w:val="left"/>
      <w:pPr>
        <w:ind w:left="3933" w:hanging="360"/>
      </w:pPr>
    </w:lvl>
    <w:lvl w:ilvl="5" w:tplc="0405001B" w:tentative="1">
      <w:start w:val="1"/>
      <w:numFmt w:val="lowerRoman"/>
      <w:lvlText w:val="%6."/>
      <w:lvlJc w:val="right"/>
      <w:pPr>
        <w:ind w:left="4653" w:hanging="180"/>
      </w:pPr>
    </w:lvl>
    <w:lvl w:ilvl="6" w:tplc="0405000F" w:tentative="1">
      <w:start w:val="1"/>
      <w:numFmt w:val="decimal"/>
      <w:lvlText w:val="%7."/>
      <w:lvlJc w:val="left"/>
      <w:pPr>
        <w:ind w:left="5373" w:hanging="360"/>
      </w:pPr>
    </w:lvl>
    <w:lvl w:ilvl="7" w:tplc="04050019" w:tentative="1">
      <w:start w:val="1"/>
      <w:numFmt w:val="lowerLetter"/>
      <w:lvlText w:val="%8."/>
      <w:lvlJc w:val="left"/>
      <w:pPr>
        <w:ind w:left="6093" w:hanging="360"/>
      </w:pPr>
    </w:lvl>
    <w:lvl w:ilvl="8" w:tplc="040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931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A1B18"/>
    <w:multiLevelType w:val="hybridMultilevel"/>
    <w:tmpl w:val="223E1EFA"/>
    <w:lvl w:ilvl="0" w:tplc="0F662EB6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203F4"/>
    <w:multiLevelType w:val="hybridMultilevel"/>
    <w:tmpl w:val="5F802670"/>
    <w:lvl w:ilvl="0" w:tplc="F4644CDE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7"/>
  </w:num>
  <w:num w:numId="5">
    <w:abstractNumId w:val="15"/>
  </w:num>
  <w:num w:numId="6">
    <w:abstractNumId w:val="25"/>
  </w:num>
  <w:num w:numId="7">
    <w:abstractNumId w:val="21"/>
  </w:num>
  <w:num w:numId="8">
    <w:abstractNumId w:val="8"/>
  </w:num>
  <w:num w:numId="9">
    <w:abstractNumId w:val="26"/>
  </w:num>
  <w:num w:numId="10">
    <w:abstractNumId w:val="2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9"/>
  </w:num>
  <w:num w:numId="16">
    <w:abstractNumId w:val="20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3"/>
  </w:num>
  <w:num w:numId="21">
    <w:abstractNumId w:val="23"/>
  </w:num>
  <w:num w:numId="22">
    <w:abstractNumId w:val="13"/>
  </w:num>
  <w:num w:numId="23">
    <w:abstractNumId w:val="11"/>
  </w:num>
  <w:num w:numId="24">
    <w:abstractNumId w:val="5"/>
  </w:num>
  <w:num w:numId="25">
    <w:abstractNumId w:val="1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E9"/>
    <w:rsid w:val="00002BDC"/>
    <w:rsid w:val="00037EB2"/>
    <w:rsid w:val="00063B55"/>
    <w:rsid w:val="000754D1"/>
    <w:rsid w:val="00076BAF"/>
    <w:rsid w:val="000977B3"/>
    <w:rsid w:val="000A0461"/>
    <w:rsid w:val="000A2118"/>
    <w:rsid w:val="000A7380"/>
    <w:rsid w:val="000B3C33"/>
    <w:rsid w:val="000D0044"/>
    <w:rsid w:val="000D6BC3"/>
    <w:rsid w:val="000D6E9C"/>
    <w:rsid w:val="000E163C"/>
    <w:rsid w:val="00126A59"/>
    <w:rsid w:val="00131149"/>
    <w:rsid w:val="001312F1"/>
    <w:rsid w:val="00142724"/>
    <w:rsid w:val="00166AD6"/>
    <w:rsid w:val="00193849"/>
    <w:rsid w:val="0019724E"/>
    <w:rsid w:val="0019730F"/>
    <w:rsid w:val="001A443B"/>
    <w:rsid w:val="001B066A"/>
    <w:rsid w:val="001E273C"/>
    <w:rsid w:val="001E57B4"/>
    <w:rsid w:val="002141AB"/>
    <w:rsid w:val="002240EA"/>
    <w:rsid w:val="00246CA4"/>
    <w:rsid w:val="00272C36"/>
    <w:rsid w:val="00280A6B"/>
    <w:rsid w:val="002A03E0"/>
    <w:rsid w:val="002B4345"/>
    <w:rsid w:val="002B6864"/>
    <w:rsid w:val="002C269D"/>
    <w:rsid w:val="002E4F4C"/>
    <w:rsid w:val="002F7AC5"/>
    <w:rsid w:val="00306136"/>
    <w:rsid w:val="003077E0"/>
    <w:rsid w:val="003252EC"/>
    <w:rsid w:val="00337D51"/>
    <w:rsid w:val="0034488B"/>
    <w:rsid w:val="00344BB2"/>
    <w:rsid w:val="00360811"/>
    <w:rsid w:val="003E0249"/>
    <w:rsid w:val="003E5BA8"/>
    <w:rsid w:val="003E6070"/>
    <w:rsid w:val="0040193C"/>
    <w:rsid w:val="00413F5B"/>
    <w:rsid w:val="00432D6F"/>
    <w:rsid w:val="004508E9"/>
    <w:rsid w:val="00487AE2"/>
    <w:rsid w:val="004B3444"/>
    <w:rsid w:val="004D03A5"/>
    <w:rsid w:val="004D27E5"/>
    <w:rsid w:val="004E5D6A"/>
    <w:rsid w:val="004F0E84"/>
    <w:rsid w:val="004F47AA"/>
    <w:rsid w:val="00505AA4"/>
    <w:rsid w:val="005171FF"/>
    <w:rsid w:val="00537BC3"/>
    <w:rsid w:val="005439AD"/>
    <w:rsid w:val="00562531"/>
    <w:rsid w:val="00563142"/>
    <w:rsid w:val="00587BB6"/>
    <w:rsid w:val="005A1B05"/>
    <w:rsid w:val="005B0318"/>
    <w:rsid w:val="005B34A5"/>
    <w:rsid w:val="005D0EEC"/>
    <w:rsid w:val="0060782D"/>
    <w:rsid w:val="006121FF"/>
    <w:rsid w:val="0061289A"/>
    <w:rsid w:val="00626490"/>
    <w:rsid w:val="00630F60"/>
    <w:rsid w:val="006370E7"/>
    <w:rsid w:val="006438A6"/>
    <w:rsid w:val="0069793C"/>
    <w:rsid w:val="006C5D5E"/>
    <w:rsid w:val="00770998"/>
    <w:rsid w:val="00795742"/>
    <w:rsid w:val="007A3E99"/>
    <w:rsid w:val="007A4C29"/>
    <w:rsid w:val="007B5F56"/>
    <w:rsid w:val="007E4E86"/>
    <w:rsid w:val="007F46C1"/>
    <w:rsid w:val="00813B16"/>
    <w:rsid w:val="00814854"/>
    <w:rsid w:val="008162DD"/>
    <w:rsid w:val="00843AD7"/>
    <w:rsid w:val="008624ED"/>
    <w:rsid w:val="008979B2"/>
    <w:rsid w:val="008C3D5E"/>
    <w:rsid w:val="008C7410"/>
    <w:rsid w:val="008F6186"/>
    <w:rsid w:val="00904C08"/>
    <w:rsid w:val="009431FB"/>
    <w:rsid w:val="00944A29"/>
    <w:rsid w:val="00966D44"/>
    <w:rsid w:val="009A097C"/>
    <w:rsid w:val="009B177B"/>
    <w:rsid w:val="009B3F27"/>
    <w:rsid w:val="009B41F4"/>
    <w:rsid w:val="009D2564"/>
    <w:rsid w:val="009E468A"/>
    <w:rsid w:val="009E6D48"/>
    <w:rsid w:val="00A13454"/>
    <w:rsid w:val="00A135C2"/>
    <w:rsid w:val="00A5252F"/>
    <w:rsid w:val="00A76E31"/>
    <w:rsid w:val="00A828E5"/>
    <w:rsid w:val="00A87951"/>
    <w:rsid w:val="00A97798"/>
    <w:rsid w:val="00AB3BD6"/>
    <w:rsid w:val="00AB5837"/>
    <w:rsid w:val="00B117DB"/>
    <w:rsid w:val="00B24DFB"/>
    <w:rsid w:val="00B4496F"/>
    <w:rsid w:val="00B63A4B"/>
    <w:rsid w:val="00B74B8F"/>
    <w:rsid w:val="00BC5D2E"/>
    <w:rsid w:val="00BD4BA4"/>
    <w:rsid w:val="00BD6EA0"/>
    <w:rsid w:val="00BE289F"/>
    <w:rsid w:val="00C04B83"/>
    <w:rsid w:val="00C06DF8"/>
    <w:rsid w:val="00C10A02"/>
    <w:rsid w:val="00C34DFD"/>
    <w:rsid w:val="00C40932"/>
    <w:rsid w:val="00C64CA3"/>
    <w:rsid w:val="00C71827"/>
    <w:rsid w:val="00C839C4"/>
    <w:rsid w:val="00CD5637"/>
    <w:rsid w:val="00CE229B"/>
    <w:rsid w:val="00CE5FBA"/>
    <w:rsid w:val="00CF3793"/>
    <w:rsid w:val="00D2463C"/>
    <w:rsid w:val="00D52C99"/>
    <w:rsid w:val="00D67D83"/>
    <w:rsid w:val="00DA646C"/>
    <w:rsid w:val="00DB33C3"/>
    <w:rsid w:val="00DD0D58"/>
    <w:rsid w:val="00DD32DF"/>
    <w:rsid w:val="00DD623C"/>
    <w:rsid w:val="00DE7A5D"/>
    <w:rsid w:val="00DF43EA"/>
    <w:rsid w:val="00E07938"/>
    <w:rsid w:val="00E403A7"/>
    <w:rsid w:val="00E50787"/>
    <w:rsid w:val="00E509DB"/>
    <w:rsid w:val="00E564B0"/>
    <w:rsid w:val="00E67001"/>
    <w:rsid w:val="00EA5491"/>
    <w:rsid w:val="00EC053A"/>
    <w:rsid w:val="00EC7086"/>
    <w:rsid w:val="00F35AD5"/>
    <w:rsid w:val="00F614A9"/>
    <w:rsid w:val="00F62C53"/>
    <w:rsid w:val="00FA7478"/>
    <w:rsid w:val="00FB7126"/>
    <w:rsid w:val="00FB7659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028C"/>
  <w15:docId w15:val="{0D0F22AB-FD44-4435-B95F-7B9C207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5E41-DA0A-43F0-B242-7FF0589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Romanová Hana</cp:lastModifiedBy>
  <cp:revision>4</cp:revision>
  <cp:lastPrinted>2018-09-19T08:53:00Z</cp:lastPrinted>
  <dcterms:created xsi:type="dcterms:W3CDTF">2021-10-26T11:47:00Z</dcterms:created>
  <dcterms:modified xsi:type="dcterms:W3CDTF">2021-10-26T11:55:00Z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2021-10-26T11:47:47Z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955201a3-2191-42bd-ba8a-00006b45cc0e</vt:lpwstr>
  </property>
  <property fmtid="{D5CDD505-2E9C-101B-9397-08002B2CF9AE}" pid="8" name="MSIP_Label_690ebb53-23a2-471a-9c6e-17bd0d11311e_ContentBits">
    <vt:lpwstr>0</vt:lpwstr>
  </property>
</Properties>
</file>