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279E" w14:textId="77777777" w:rsidR="00DE5D49" w:rsidRDefault="005E5EDC" w:rsidP="0089779C">
      <w:pPr>
        <w:rPr>
          <w:rFonts w:ascii="Arial" w:hAnsi="Arial" w:cs="Arial"/>
          <w:b/>
          <w:w w:val="80"/>
          <w:sz w:val="28"/>
          <w:szCs w:val="28"/>
          <w:vertAlign w:val="superscript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DE5D49">
        <w:rPr>
          <w:rFonts w:ascii="Arial" w:hAnsi="Arial" w:cs="Arial"/>
          <w:b/>
          <w:w w:val="80"/>
          <w:sz w:val="28"/>
          <w:szCs w:val="28"/>
        </w:rPr>
        <w:t xml:space="preserve">1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B159D3">
        <w:rPr>
          <w:rFonts w:ascii="Arial" w:hAnsi="Arial" w:cs="Arial"/>
          <w:b/>
          <w:w w:val="80"/>
          <w:sz w:val="28"/>
          <w:szCs w:val="28"/>
        </w:rPr>
        <w:t>490150636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B159D3">
        <w:rPr>
          <w:rFonts w:ascii="Arial" w:hAnsi="Arial" w:cs="Arial"/>
          <w:b/>
          <w:w w:val="80"/>
          <w:sz w:val="28"/>
          <w:szCs w:val="28"/>
        </w:rPr>
        <w:t>CODEXIS</w:t>
      </w:r>
      <w:r w:rsidR="00B159D3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6B2785F4" w14:textId="77777777" w:rsidR="00DE5D49" w:rsidRDefault="00DE5D49" w:rsidP="0046056C">
      <w:pPr>
        <w:jc w:val="center"/>
        <w:rPr>
          <w:rFonts w:ascii="Arial" w:hAnsi="Arial" w:cs="Arial"/>
          <w:b/>
          <w:w w:val="80"/>
          <w:sz w:val="28"/>
          <w:szCs w:val="28"/>
          <w:vertAlign w:val="superscript"/>
        </w:rPr>
      </w:pPr>
    </w:p>
    <w:p w14:paraId="664ACC43" w14:textId="77777777" w:rsidR="0046056C" w:rsidRPr="00DE5D49" w:rsidRDefault="0046056C" w:rsidP="00DE5D49">
      <w:pPr>
        <w:jc w:val="right"/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</w:pPr>
      <w:r w:rsidRPr="00DE5D49">
        <w:rPr>
          <w:rFonts w:ascii="Arial" w:hAnsi="Arial" w:cs="Arial"/>
          <w:b/>
          <w:color w:val="7F7F7F" w:themeColor="text1" w:themeTint="80"/>
          <w:w w:val="80"/>
          <w:sz w:val="26"/>
          <w:szCs w:val="26"/>
        </w:rPr>
        <w:t xml:space="preserve"> </w:t>
      </w:r>
      <w:r w:rsidRPr="00DE5D49"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  <w:t xml:space="preserve">Dok. č. </w:t>
      </w:r>
      <w:r w:rsidR="00B159D3" w:rsidRPr="00DE5D49"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  <w:t>492210762</w:t>
      </w:r>
    </w:p>
    <w:p w14:paraId="5E8B1276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185016D4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53889450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39AE9DF9" w14:textId="77777777" w:rsidR="00BE17ED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7622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proofErr w:type="gramStart"/>
      <w:r w:rsidR="007622CA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</w:t>
      </w:r>
      <w:proofErr w:type="gramEnd"/>
      <w:r>
        <w:rPr>
          <w:rFonts w:cs="Arial"/>
          <w:sz w:val="18"/>
          <w:szCs w:val="18"/>
        </w:rPr>
        <w:t>-Moravská Ostrava</w:t>
      </w:r>
    </w:p>
    <w:p w14:paraId="7AEF3C4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</w:p>
    <w:p w14:paraId="46E8ACC3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 w:rsidR="001C44DB">
        <w:rPr>
          <w:rFonts w:cs="Arial"/>
          <w:sz w:val="18"/>
          <w:szCs w:val="18"/>
        </w:rPr>
        <w:t>obchod@atlasgroup.cz</w:t>
      </w:r>
    </w:p>
    <w:p w14:paraId="67389293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005BF42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62B28BCE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76AA3F8A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7C549A53" w14:textId="77777777" w:rsidR="005E5EDC" w:rsidRPr="00CF7AFB" w:rsidRDefault="00B159D3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Psychiatrická nemocnice Horní Beřkovice</w:t>
      </w:r>
    </w:p>
    <w:p w14:paraId="54B15278" w14:textId="77777777" w:rsidR="005E5EDC" w:rsidRPr="00CF7AFB" w:rsidRDefault="00B159D3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Podřipská </w:t>
      </w:r>
      <w:proofErr w:type="gramStart"/>
      <w:r>
        <w:rPr>
          <w:rFonts w:cs="Arial"/>
          <w:sz w:val="18"/>
          <w:szCs w:val="18"/>
        </w:rPr>
        <w:t>1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411</w:t>
      </w:r>
      <w:proofErr w:type="gramEnd"/>
      <w:r>
        <w:rPr>
          <w:rFonts w:cs="Arial"/>
          <w:sz w:val="18"/>
          <w:szCs w:val="18"/>
        </w:rPr>
        <w:t xml:space="preserve"> 85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Horní Beřkovice</w:t>
      </w:r>
    </w:p>
    <w:p w14:paraId="31B5AA39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B159D3">
        <w:rPr>
          <w:rFonts w:cs="Arial"/>
          <w:sz w:val="18"/>
          <w:szCs w:val="18"/>
        </w:rPr>
        <w:t>00673552</w:t>
      </w:r>
      <w:r w:rsidRPr="00CF7AFB">
        <w:rPr>
          <w:rFonts w:cs="Arial"/>
          <w:sz w:val="18"/>
          <w:szCs w:val="18"/>
        </w:rPr>
        <w:t xml:space="preserve">, DIČ: </w:t>
      </w:r>
      <w:r w:rsidR="00B159D3">
        <w:rPr>
          <w:rFonts w:cs="Arial"/>
          <w:sz w:val="18"/>
          <w:szCs w:val="18"/>
        </w:rPr>
        <w:t>CZ00673552</w:t>
      </w:r>
    </w:p>
    <w:p w14:paraId="21502460" w14:textId="77777777"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r w:rsidR="00B159D3">
        <w:rPr>
          <w:rFonts w:ascii="Arial" w:hAnsi="Arial" w:cs="Arial"/>
          <w:noProof/>
          <w:sz w:val="18"/>
          <w:szCs w:val="18"/>
        </w:rPr>
        <w:t>zdenek.luxik@pnhberkovice.cz ; o.knoblochova@pnhberkovice.cz</w:t>
      </w:r>
    </w:p>
    <w:p w14:paraId="2AB22DF8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zastoupená: ……………………………</w:t>
      </w:r>
      <w:proofErr w:type="gramStart"/>
      <w:r w:rsidRPr="00CF7AFB">
        <w:rPr>
          <w:rFonts w:cs="Arial"/>
          <w:sz w:val="18"/>
          <w:szCs w:val="18"/>
        </w:rPr>
        <w:t>…….</w:t>
      </w:r>
      <w:proofErr w:type="gramEnd"/>
      <w:r w:rsidRPr="00CF7AFB">
        <w:rPr>
          <w:rFonts w:cs="Arial"/>
          <w:sz w:val="18"/>
          <w:szCs w:val="18"/>
        </w:rPr>
        <w:t>.</w:t>
      </w:r>
    </w:p>
    <w:p w14:paraId="109A4675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098DB54C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C70E054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315AC770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mění 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587354" w:rsidRPr="00587354">
        <w:rPr>
          <w:rFonts w:cs="Arial"/>
          <w:b/>
          <w:sz w:val="18"/>
          <w:szCs w:val="18"/>
          <w:u w:val="single"/>
        </w:rPr>
        <w:t xml:space="preserve"> </w:t>
      </w:r>
      <w:r w:rsidR="00B159D3">
        <w:rPr>
          <w:rFonts w:cs="Arial"/>
          <w:b/>
          <w:sz w:val="18"/>
          <w:szCs w:val="18"/>
          <w:u w:val="single"/>
        </w:rPr>
        <w:t>9.11.2015</w:t>
      </w:r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14:paraId="02A1F420" w14:textId="77777777"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1A1F1A56" w14:textId="77777777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36421D40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14:paraId="2169001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54350BAE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B159D3">
        <w:rPr>
          <w:rFonts w:ascii="Arial" w:hAnsi="Arial" w:cs="Arial"/>
          <w:b/>
          <w:sz w:val="18"/>
          <w:szCs w:val="18"/>
        </w:rPr>
        <w:t>18.400,- Kč. Celková cena za celé období trvání smlouvy dle odst. 7.1 je 92.000,-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B159D3">
        <w:rPr>
          <w:rFonts w:ascii="Arial" w:hAnsi="Arial" w:cs="Arial"/>
          <w:b/>
          <w:sz w:val="18"/>
          <w:szCs w:val="18"/>
        </w:rPr>
        <w:t>devadesátdvatisíckorunčeských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120DFB30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r w:rsidR="00B159D3">
        <w:rPr>
          <w:rFonts w:ascii="Arial" w:hAnsi="Arial" w:cs="Arial"/>
          <w:sz w:val="18"/>
          <w:szCs w:val="18"/>
        </w:rPr>
        <w:t>zdenek.luxik@pnhberkovice.cz ; o.knoblochova@pnhberkovice.cz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3D6A2645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B159D3">
        <w:rPr>
          <w:rFonts w:ascii="Arial" w:hAnsi="Arial" w:cs="Arial"/>
          <w:sz w:val="18"/>
          <w:szCs w:val="18"/>
        </w:rPr>
        <w:t xml:space="preserve">Ing. Zdeněk </w:t>
      </w:r>
      <w:proofErr w:type="spellStart"/>
      <w:r w:rsidR="00B159D3">
        <w:rPr>
          <w:rFonts w:ascii="Arial" w:hAnsi="Arial" w:cs="Arial"/>
          <w:sz w:val="18"/>
          <w:szCs w:val="18"/>
        </w:rPr>
        <w:t>Luxík</w:t>
      </w:r>
      <w:proofErr w:type="spellEnd"/>
      <w:r w:rsidR="00DE5D49">
        <w:rPr>
          <w:rFonts w:ascii="Arial" w:hAnsi="Arial" w:cs="Arial"/>
          <w:sz w:val="18"/>
          <w:szCs w:val="18"/>
        </w:rPr>
        <w:t>.</w:t>
      </w:r>
    </w:p>
    <w:p w14:paraId="2C4B09FF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55CB48D0" w14:textId="77777777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14:paraId="72B530D8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14:paraId="2C1FD424" w14:textId="3C7C66C1" w:rsidR="005E5EDC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0B7ED754" w14:textId="77777777" w:rsidR="0089779C" w:rsidRPr="00CF7AFB" w:rsidRDefault="0089779C" w:rsidP="0089779C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C1A44B7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lastRenderedPageBreak/>
        <w:t>7. Platnost smlouvy</w:t>
      </w:r>
    </w:p>
    <w:p w14:paraId="76CAFFF0" w14:textId="77777777"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DE5D49">
        <w:rPr>
          <w:rFonts w:ascii="Arial" w:hAnsi="Arial" w:cs="Arial"/>
          <w:sz w:val="18"/>
          <w:szCs w:val="18"/>
        </w:rPr>
        <w:t>do 30.11.2026.</w:t>
      </w:r>
    </w:p>
    <w:p w14:paraId="64C983C2" w14:textId="77777777" w:rsidR="00DE5D49" w:rsidRPr="00DE5D49" w:rsidRDefault="00DE5D49" w:rsidP="00DE5D49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E5D49">
        <w:rPr>
          <w:rFonts w:ascii="Arial" w:hAnsi="Arial" w:cs="Arial"/>
          <w:sz w:val="18"/>
          <w:szCs w:val="18"/>
        </w:rPr>
        <w:t xml:space="preserve">Před uplynutím sjednané doby trvání lze tuto smlouvu po dohodě obou smluvních stran prodloužit formou písemného dodatku. </w:t>
      </w:r>
    </w:p>
    <w:p w14:paraId="21D0A722" w14:textId="77777777" w:rsidR="006F0569" w:rsidRPr="000F5DC1" w:rsidRDefault="006F0569" w:rsidP="006F0569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t>Písemné oznámení podle předchozího odstavce musí být zasláno druhé smluvní straně formou doporučeného dopisu na kontaktní adresu uvedenou v záhlaví této smlouvy</w:t>
      </w:r>
      <w:r w:rsidRPr="000F5DC1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5CA88E47" w14:textId="77777777" w:rsidR="005E5EDC" w:rsidRPr="00CF7AFB" w:rsidRDefault="005E5EDC" w:rsidP="005E5EDC">
      <w:pPr>
        <w:pStyle w:val="Zkladntext"/>
        <w:numPr>
          <w:ilvl w:val="1"/>
          <w:numId w:val="2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49672C35" w14:textId="77777777" w:rsidR="005E5EDC" w:rsidRPr="00CF7AFB" w:rsidRDefault="005E5EDC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1617D51B" w14:textId="77777777" w:rsidR="005E5EDC" w:rsidRDefault="005E5EDC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14:paraId="2B573D35" w14:textId="77777777" w:rsidR="00B817DA" w:rsidRDefault="00B817DA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CD3F045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79B574FC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4155D34B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1497C5E1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1D8F1637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15540EC7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r w:rsidR="00DE5D49">
        <w:rPr>
          <w:rFonts w:ascii="Arial" w:hAnsi="Arial" w:cs="Arial"/>
          <w:sz w:val="18"/>
          <w:szCs w:val="18"/>
        </w:rPr>
        <w:t>1.12.2021.</w:t>
      </w:r>
    </w:p>
    <w:p w14:paraId="54C7B71E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C17081">
        <w:rPr>
          <w:rFonts w:ascii="Arial" w:hAnsi="Arial" w:cs="Arial"/>
          <w:sz w:val="18"/>
          <w:szCs w:val="18"/>
        </w:rPr>
        <w:t>paré</w:t>
      </w:r>
      <w:proofErr w:type="spellEnd"/>
      <w:r w:rsidRPr="00C17081">
        <w:rPr>
          <w:rFonts w:ascii="Arial" w:hAnsi="Arial" w:cs="Arial"/>
          <w:sz w:val="18"/>
          <w:szCs w:val="18"/>
        </w:rPr>
        <w:t xml:space="preserve">. </w:t>
      </w:r>
    </w:p>
    <w:p w14:paraId="0CC8D70A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0FEE45A5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42F28875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 w:rsidR="00B159D3">
        <w:rPr>
          <w:rFonts w:ascii="Arial" w:hAnsi="Arial" w:cs="Arial"/>
          <w:color w:val="333333"/>
          <w:sz w:val="18"/>
          <w:szCs w:val="18"/>
        </w:rPr>
        <w:t>16. listopadu 2021</w:t>
      </w:r>
      <w:bookmarkStart w:id="0" w:name="_GoBack"/>
      <w:bookmarkEnd w:id="0"/>
    </w:p>
    <w:p w14:paraId="6D69CF36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F3F3B3D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7D046F0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C3E2C5E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839016A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DF83599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62CEC3F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4701989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2B905EC8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5C90F978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40BF5021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0671CC2C" w14:textId="77777777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56B260B7" w14:textId="77777777" w:rsidR="00604930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1435372E" w14:textId="77777777" w:rsidR="0051353B" w:rsidRDefault="0051353B" w:rsidP="00604930">
      <w:pPr>
        <w:rPr>
          <w:rFonts w:ascii="Arial" w:hAnsi="Arial" w:cs="Arial"/>
          <w:color w:val="333333"/>
          <w:sz w:val="16"/>
          <w:szCs w:val="16"/>
        </w:rPr>
      </w:pPr>
    </w:p>
    <w:p w14:paraId="5892AC5D" w14:textId="77777777" w:rsidR="00E464F0" w:rsidRPr="001502EC" w:rsidRDefault="00E464F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0DEB3EA9" w14:textId="77777777"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14CF88D4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8977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43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F0AC" w14:textId="77777777" w:rsidR="00F161F1" w:rsidRDefault="00F161F1">
      <w:r>
        <w:separator/>
      </w:r>
    </w:p>
  </w:endnote>
  <w:endnote w:type="continuationSeparator" w:id="0">
    <w:p w14:paraId="3385D1D3" w14:textId="77777777" w:rsidR="00F161F1" w:rsidRDefault="00F1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3E137" w14:textId="77777777" w:rsidR="00123C8E" w:rsidRDefault="00123C8E" w:rsidP="00123C8E">
    <w:pPr>
      <w:pStyle w:val="Zhlav"/>
    </w:pPr>
  </w:p>
  <w:p w14:paraId="1983D0A0" w14:textId="77777777" w:rsidR="00123C8E" w:rsidRDefault="00123C8E" w:rsidP="00123C8E"/>
  <w:p w14:paraId="70E75533" w14:textId="77777777" w:rsidR="00123C8E" w:rsidRDefault="00123C8E" w:rsidP="00123C8E">
    <w:pPr>
      <w:pStyle w:val="Zpat"/>
    </w:pPr>
  </w:p>
  <w:p w14:paraId="75BC85E0" w14:textId="77777777" w:rsidR="00123C8E" w:rsidRDefault="00123C8E" w:rsidP="00123C8E"/>
  <w:p w14:paraId="5C68E86C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BA092" wp14:editId="0AEBCE5E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D054E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3FA94F6D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A218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9C637A7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451DFB4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2F823" wp14:editId="01A608C5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976AF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5E42" w14:textId="77777777" w:rsidR="00F161F1" w:rsidRDefault="00F161F1">
      <w:r>
        <w:separator/>
      </w:r>
    </w:p>
  </w:footnote>
  <w:footnote w:type="continuationSeparator" w:id="0">
    <w:p w14:paraId="2D6AC716" w14:textId="77777777" w:rsidR="00F161F1" w:rsidRDefault="00F1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42539" w14:textId="77777777" w:rsidR="00783E76" w:rsidRDefault="00783E76">
    <w:pPr>
      <w:pStyle w:val="Zhlav"/>
    </w:pPr>
  </w:p>
  <w:p w14:paraId="16F4C776" w14:textId="77777777" w:rsidR="00783E76" w:rsidRDefault="00783E76">
    <w:pPr>
      <w:pStyle w:val="Zhlav"/>
    </w:pPr>
  </w:p>
  <w:p w14:paraId="4794C5D8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2233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1358B103" wp14:editId="4C8B70CB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13" name="Obrázek 13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28"/>
  </w:num>
  <w:num w:numId="10">
    <w:abstractNumId w:val="27"/>
  </w:num>
  <w:num w:numId="11">
    <w:abstractNumId w:val="14"/>
  </w:num>
  <w:num w:numId="12">
    <w:abstractNumId w:val="26"/>
  </w:num>
  <w:num w:numId="13">
    <w:abstractNumId w:val="20"/>
  </w:num>
  <w:num w:numId="14">
    <w:abstractNumId w:val="8"/>
  </w:num>
  <w:num w:numId="15">
    <w:abstractNumId w:val="29"/>
  </w:num>
  <w:num w:numId="16">
    <w:abstractNumId w:val="9"/>
  </w:num>
  <w:num w:numId="17">
    <w:abstractNumId w:val="5"/>
  </w:num>
  <w:num w:numId="18">
    <w:abstractNumId w:val="17"/>
  </w:num>
  <w:num w:numId="19">
    <w:abstractNumId w:val="24"/>
  </w:num>
  <w:num w:numId="20">
    <w:abstractNumId w:val="10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3"/>
  </w:num>
  <w:num w:numId="26">
    <w:abstractNumId w:val="30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11"/>
  </w:num>
  <w:num w:numId="31">
    <w:abstractNumId w:val="12"/>
  </w:num>
  <w:num w:numId="32">
    <w:abstractNumId w:val="23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tCARrnZBrodgZpy3/zDfOpJwQDZSOIyicHykqY1RmnFsstDk5ueTHWXdmhjVKSXGPe4MsVEorYRCg2uJ1jnObg==" w:salt="LMpmj3XdEEvvry2oDTz11Q=="/>
  <w:defaultTabStop w:val="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05BA"/>
    <w:rsid w:val="00087D83"/>
    <w:rsid w:val="000A6B24"/>
    <w:rsid w:val="000B1BAA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540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20AE"/>
    <w:rsid w:val="007622CA"/>
    <w:rsid w:val="00762E4E"/>
    <w:rsid w:val="00775DAE"/>
    <w:rsid w:val="0078249E"/>
    <w:rsid w:val="00783E76"/>
    <w:rsid w:val="007A1BCD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79C"/>
    <w:rsid w:val="00897E6C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9D3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E5D49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4033"/>
    <o:shapelayout v:ext="edit">
      <o:idmap v:ext="edit" data="1"/>
    </o:shapelayout>
  </w:shapeDefaults>
  <w:decimalSymbol w:val=","/>
  <w:listSeparator w:val=";"/>
  <w14:docId w14:val="170DDE6E"/>
  <w15:docId w15:val="{486EDD64-04EF-4DDB-82B6-30A2C817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Vendula Adamopulu</cp:lastModifiedBy>
  <cp:revision>7</cp:revision>
  <cp:lastPrinted>2021-11-16T07:52:00Z</cp:lastPrinted>
  <dcterms:created xsi:type="dcterms:W3CDTF">2021-11-16T07:50:00Z</dcterms:created>
  <dcterms:modified xsi:type="dcterms:W3CDTF">2021-11-19T14:08:00Z</dcterms:modified>
</cp:coreProperties>
</file>