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8" w:rsidRDefault="00285076" w:rsidP="00312110">
      <w:pPr>
        <w:pStyle w:val="Nzev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SMLOUVA O SPOLUPOŘADATELSTVÍ</w:t>
      </w:r>
    </w:p>
    <w:p w:rsidR="00702F68" w:rsidRDefault="00285076">
      <w:pPr>
        <w:suppressAutoHyphens/>
        <w:spacing w:before="360"/>
        <w:ind w:left="432" w:hanging="432"/>
        <w:rPr>
          <w:rFonts w:ascii="Calibri" w:eastAsia="Calibri" w:hAnsi="Calibri" w:cs="Calibri"/>
          <w:b/>
          <w:bCs/>
          <w:color w:val="ED7D31"/>
          <w:sz w:val="22"/>
          <w:szCs w:val="22"/>
          <w:u w:color="ED7D31"/>
        </w:rPr>
      </w:pPr>
      <w:r>
        <w:rPr>
          <w:rFonts w:ascii="Calibri" w:hAnsi="Calibri"/>
          <w:b/>
          <w:bCs/>
          <w:sz w:val="22"/>
          <w:szCs w:val="22"/>
        </w:rPr>
        <w:t xml:space="preserve">ČESKÁ CENTRA </w:t>
      </w:r>
    </w:p>
    <w:p w:rsidR="00702F68" w:rsidRDefault="00285076">
      <w:pPr>
        <w:suppressAutoHyphens/>
        <w:spacing w:before="120"/>
        <w:ind w:left="432" w:hanging="432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Václavské nám. 816/49, 110 00 Praha 1</w:t>
      </w:r>
    </w:p>
    <w:p w:rsidR="00702F68" w:rsidRDefault="00285076">
      <w:pPr>
        <w:suppressAutoHyphens/>
        <w:ind w:left="1584" w:hanging="1584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Která zastupuje: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PhDr. Ondřej Černý, generální ředitel Českých center</w:t>
      </w:r>
      <w:r>
        <w:rPr>
          <w:rFonts w:ascii="Calibri" w:hAnsi="Calibri"/>
          <w:color w:val="E46C0A"/>
          <w:sz w:val="22"/>
          <w:szCs w:val="22"/>
          <w:u w:color="E46C0A"/>
        </w:rPr>
        <w:t xml:space="preserve"> </w:t>
      </w:r>
    </w:p>
    <w:p w:rsidR="00702F68" w:rsidRDefault="00285076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  <w:t>48546038</w:t>
      </w:r>
    </w:p>
    <w:p w:rsidR="00702F68" w:rsidRDefault="00285076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CZ48546038</w:t>
      </w:r>
    </w:p>
    <w:p w:rsidR="00702F68" w:rsidRDefault="00285076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  <w:t>Česká národní banka</w:t>
      </w:r>
    </w:p>
    <w:p w:rsidR="00702F68" w:rsidRDefault="00285076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účtu:</w:t>
      </w:r>
      <w:r>
        <w:rPr>
          <w:rFonts w:ascii="Calibri" w:hAnsi="Calibri"/>
          <w:sz w:val="22"/>
          <w:szCs w:val="22"/>
        </w:rPr>
        <w:tab/>
      </w:r>
      <w:proofErr w:type="spellStart"/>
      <w:r w:rsidR="009962EE">
        <w:rPr>
          <w:rFonts w:ascii="Calibri" w:hAnsi="Calibri"/>
          <w:sz w:val="22"/>
          <w:szCs w:val="22"/>
        </w:rPr>
        <w:t>xxxxx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702F68" w:rsidRDefault="00285076">
      <w:pPr>
        <w:spacing w:before="120"/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„ČC“)</w:t>
      </w:r>
    </w:p>
    <w:p w:rsidR="00702F68" w:rsidRPr="0055772C" w:rsidRDefault="00285076">
      <w:pPr>
        <w:spacing w:before="120"/>
        <w:ind w:left="2126" w:hanging="2126"/>
        <w:rPr>
          <w:rFonts w:ascii="Calibri" w:eastAsia="Calibri" w:hAnsi="Calibri" w:cs="Calibri"/>
          <w:sz w:val="22"/>
          <w:szCs w:val="22"/>
        </w:rPr>
      </w:pPr>
      <w:r w:rsidRPr="0055772C">
        <w:rPr>
          <w:rFonts w:ascii="Calibri" w:hAnsi="Calibri"/>
          <w:sz w:val="22"/>
          <w:szCs w:val="22"/>
        </w:rPr>
        <w:t>a</w:t>
      </w:r>
      <w:r w:rsidRPr="0055772C">
        <w:rPr>
          <w:rFonts w:ascii="Calibri" w:eastAsia="Calibri" w:hAnsi="Calibri" w:cs="Calibri"/>
          <w:color w:val="E36C0A"/>
          <w:sz w:val="22"/>
          <w:szCs w:val="22"/>
          <w:u w:color="E36C0A"/>
        </w:rPr>
        <w:tab/>
      </w:r>
    </w:p>
    <w:p w:rsidR="00702F68" w:rsidRPr="0055772C" w:rsidRDefault="0055772C">
      <w:pPr>
        <w:suppressAutoHyphens/>
        <w:spacing w:before="120"/>
        <w:ind w:left="431" w:hanging="431"/>
        <w:rPr>
          <w:rFonts w:ascii="Calibri" w:hAnsi="Calibri"/>
          <w:b/>
          <w:sz w:val="22"/>
          <w:szCs w:val="22"/>
        </w:rPr>
      </w:pPr>
      <w:r w:rsidRPr="0055772C">
        <w:rPr>
          <w:rFonts w:ascii="Calibri" w:hAnsi="Calibri"/>
          <w:b/>
          <w:sz w:val="22"/>
          <w:szCs w:val="22"/>
        </w:rPr>
        <w:t xml:space="preserve">DOC.DREAM </w:t>
      </w:r>
      <w:proofErr w:type="spellStart"/>
      <w:r w:rsidRPr="0055772C">
        <w:rPr>
          <w:rFonts w:ascii="Calibri" w:hAnsi="Calibri"/>
          <w:b/>
          <w:sz w:val="22"/>
          <w:szCs w:val="22"/>
        </w:rPr>
        <w:t>services</w:t>
      </w:r>
      <w:proofErr w:type="spellEnd"/>
      <w:r w:rsidRPr="0055772C">
        <w:rPr>
          <w:rFonts w:ascii="Calibri" w:hAnsi="Calibri"/>
          <w:b/>
          <w:sz w:val="22"/>
          <w:szCs w:val="22"/>
        </w:rPr>
        <w:t xml:space="preserve"> s.r.o.</w:t>
      </w:r>
    </w:p>
    <w:p w:rsidR="00702F68" w:rsidRPr="0055772C" w:rsidRDefault="00285076">
      <w:pPr>
        <w:suppressAutoHyphens/>
        <w:spacing w:before="120"/>
        <w:ind w:left="432" w:hanging="432"/>
        <w:rPr>
          <w:rFonts w:ascii="Calibri" w:hAnsi="Calibri"/>
          <w:sz w:val="22"/>
          <w:szCs w:val="22"/>
        </w:rPr>
      </w:pPr>
      <w:r w:rsidRPr="0055772C">
        <w:rPr>
          <w:rFonts w:ascii="Calibri" w:hAnsi="Calibri"/>
          <w:sz w:val="22"/>
          <w:szCs w:val="22"/>
        </w:rPr>
        <w:t>Se sídlem:</w:t>
      </w:r>
      <w:r w:rsidR="0055772C"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ab/>
        <w:t>Jana Masaryka 1662/16, 586 01 Jihlava</w:t>
      </w:r>
    </w:p>
    <w:p w:rsidR="00702F68" w:rsidRPr="0055772C" w:rsidRDefault="00285076">
      <w:pPr>
        <w:suppressAutoHyphens/>
        <w:ind w:left="432" w:hanging="432"/>
        <w:rPr>
          <w:rFonts w:ascii="Calibri" w:hAnsi="Calibri"/>
          <w:sz w:val="22"/>
          <w:szCs w:val="22"/>
        </w:rPr>
      </w:pPr>
      <w:r w:rsidRPr="0055772C">
        <w:rPr>
          <w:rFonts w:ascii="Calibri" w:hAnsi="Calibri"/>
          <w:sz w:val="22"/>
          <w:szCs w:val="22"/>
        </w:rPr>
        <w:t>Zastoupena:</w:t>
      </w:r>
      <w:r w:rsidR="0055772C"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ab/>
        <w:t>Markem Hovorkou a Katarínou Holubcovou, jednateli</w:t>
      </w:r>
    </w:p>
    <w:p w:rsidR="00702F68" w:rsidRPr="0055772C" w:rsidRDefault="00285076">
      <w:pPr>
        <w:suppressAutoHyphens/>
        <w:ind w:left="432" w:hanging="432"/>
        <w:rPr>
          <w:rFonts w:ascii="Calibri" w:hAnsi="Calibri"/>
          <w:sz w:val="22"/>
          <w:szCs w:val="22"/>
        </w:rPr>
      </w:pPr>
      <w:r w:rsidRPr="0055772C">
        <w:rPr>
          <w:rFonts w:ascii="Calibri" w:hAnsi="Calibri"/>
          <w:sz w:val="22"/>
          <w:szCs w:val="22"/>
        </w:rPr>
        <w:t>IČ:</w:t>
      </w:r>
      <w:r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ab/>
        <w:t>05386551</w:t>
      </w:r>
    </w:p>
    <w:p w:rsidR="00702F68" w:rsidRPr="0055772C" w:rsidRDefault="00285076">
      <w:pPr>
        <w:suppressAutoHyphens/>
        <w:ind w:left="432" w:hanging="432"/>
        <w:rPr>
          <w:rFonts w:ascii="Calibri" w:hAnsi="Calibri"/>
          <w:sz w:val="22"/>
          <w:szCs w:val="22"/>
        </w:rPr>
      </w:pPr>
      <w:r w:rsidRPr="0055772C">
        <w:rPr>
          <w:rFonts w:ascii="Calibri" w:hAnsi="Calibri"/>
          <w:sz w:val="22"/>
          <w:szCs w:val="22"/>
        </w:rPr>
        <w:t>DIČ:</w:t>
      </w:r>
      <w:r w:rsidR="0055772C"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ab/>
        <w:t>CZ05386551</w:t>
      </w:r>
    </w:p>
    <w:p w:rsidR="00702F68" w:rsidRPr="0055772C" w:rsidRDefault="00285076">
      <w:pPr>
        <w:suppressAutoHyphens/>
        <w:ind w:left="432" w:hanging="432"/>
        <w:rPr>
          <w:rFonts w:ascii="Calibri" w:hAnsi="Calibri"/>
          <w:sz w:val="22"/>
          <w:szCs w:val="22"/>
        </w:rPr>
      </w:pPr>
      <w:r w:rsidRPr="0055772C">
        <w:rPr>
          <w:rFonts w:ascii="Calibri" w:hAnsi="Calibri"/>
          <w:sz w:val="22"/>
          <w:szCs w:val="22"/>
        </w:rPr>
        <w:t>Bankovní spojení:</w:t>
      </w:r>
      <w:r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>Česká spořitelna, a.s.</w:t>
      </w:r>
    </w:p>
    <w:p w:rsidR="00702F68" w:rsidRPr="0055772C" w:rsidRDefault="00285076">
      <w:pPr>
        <w:suppressAutoHyphens/>
        <w:ind w:left="432" w:hanging="432"/>
        <w:rPr>
          <w:rFonts w:ascii="Calibri" w:hAnsi="Calibri"/>
          <w:sz w:val="22"/>
          <w:szCs w:val="22"/>
        </w:rPr>
      </w:pPr>
      <w:r w:rsidRPr="0055772C">
        <w:rPr>
          <w:rFonts w:ascii="Calibri" w:hAnsi="Calibri"/>
          <w:sz w:val="22"/>
          <w:szCs w:val="22"/>
        </w:rPr>
        <w:t>Číslo účtu:</w:t>
      </w:r>
      <w:r w:rsidRPr="0055772C">
        <w:rPr>
          <w:rFonts w:ascii="Calibri" w:hAnsi="Calibri"/>
          <w:sz w:val="22"/>
          <w:szCs w:val="22"/>
        </w:rPr>
        <w:tab/>
      </w:r>
      <w:r w:rsidR="0055772C" w:rsidRPr="0055772C">
        <w:rPr>
          <w:rFonts w:ascii="Calibri" w:hAnsi="Calibri"/>
          <w:sz w:val="22"/>
          <w:szCs w:val="22"/>
        </w:rPr>
        <w:tab/>
      </w:r>
      <w:r w:rsidR="009962EE">
        <w:rPr>
          <w:rFonts w:ascii="Calibri" w:hAnsi="Calibri"/>
          <w:sz w:val="22"/>
          <w:szCs w:val="22"/>
        </w:rPr>
        <w:t>xxxxx</w:t>
      </w:r>
      <w:bookmarkStart w:id="0" w:name="_GoBack"/>
      <w:bookmarkEnd w:id="0"/>
    </w:p>
    <w:p w:rsidR="00702F68" w:rsidRDefault="00285076">
      <w:pPr>
        <w:spacing w:before="120"/>
        <w:ind w:left="2127" w:hanging="2127"/>
        <w:rPr>
          <w:rFonts w:ascii="Calibri" w:hAnsi="Calibri"/>
          <w:sz w:val="22"/>
          <w:szCs w:val="22"/>
        </w:rPr>
      </w:pPr>
      <w:r w:rsidRPr="0055772C">
        <w:rPr>
          <w:rFonts w:ascii="Calibri" w:hAnsi="Calibri"/>
          <w:sz w:val="22"/>
          <w:szCs w:val="22"/>
        </w:rPr>
        <w:t>(dále jen „Partner“)</w:t>
      </w:r>
    </w:p>
    <w:p w:rsidR="00312110" w:rsidRDefault="00312110">
      <w:pPr>
        <w:spacing w:before="120"/>
        <w:ind w:left="2127" w:hanging="2127"/>
        <w:rPr>
          <w:rFonts w:ascii="Calibri" w:eastAsia="Calibri" w:hAnsi="Calibri" w:cs="Calibri"/>
          <w:sz w:val="22"/>
          <w:szCs w:val="22"/>
        </w:rPr>
      </w:pPr>
    </w:p>
    <w:p w:rsidR="00702F68" w:rsidRDefault="00285076">
      <w:pPr>
        <w:pStyle w:val="Bezmezer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uzavřeli níže uvedeného dne, měsíce a roku na základě ustanovení § 1746 odst. 2 zákona č. 89/2012 Sb., občanský zákoník, tuto Smlouvu o spolupořadatelství/partnerství:</w:t>
      </w:r>
    </w:p>
    <w:p w:rsidR="00702F68" w:rsidRDefault="00285076">
      <w:pPr>
        <w:spacing w:before="240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>I.</w:t>
      </w:r>
    </w:p>
    <w:p w:rsidR="00702F68" w:rsidRDefault="00285076">
      <w:pPr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>Předmět smlouvy</w:t>
      </w:r>
    </w:p>
    <w:p w:rsidR="00702F68" w:rsidRDefault="00285076">
      <w:pPr>
        <w:pStyle w:val="Bezmezer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spolupráce ČC a Partnera při spolupořádání </w:t>
      </w:r>
      <w:r w:rsidRPr="00312110">
        <w:rPr>
          <w:rFonts w:ascii="Calibri" w:hAnsi="Calibri"/>
          <w:color w:val="auto"/>
          <w:sz w:val="22"/>
          <w:szCs w:val="22"/>
        </w:rPr>
        <w:t>tematického bloku „</w:t>
      </w:r>
      <w:r w:rsidR="00312110" w:rsidRPr="00312110">
        <w:rPr>
          <w:rFonts w:ascii="Calibri" w:hAnsi="Calibri"/>
          <w:b/>
          <w:color w:val="auto"/>
          <w:sz w:val="22"/>
          <w:szCs w:val="22"/>
        </w:rPr>
        <w:t>R</w:t>
      </w:r>
      <w:r w:rsidR="00312110">
        <w:rPr>
          <w:rFonts w:ascii="Calibri" w:hAnsi="Calibri"/>
          <w:b/>
          <w:color w:val="auto"/>
          <w:sz w:val="22"/>
          <w:szCs w:val="22"/>
        </w:rPr>
        <w:t xml:space="preserve">ovnice zítřka / </w:t>
      </w:r>
      <w:r w:rsidR="00312110" w:rsidRPr="00312110">
        <w:rPr>
          <w:rFonts w:ascii="Calibri" w:hAnsi="Calibri"/>
          <w:b/>
          <w:color w:val="auto"/>
          <w:sz w:val="22"/>
          <w:szCs w:val="22"/>
        </w:rPr>
        <w:t>O rovnosti a nerovnostech</w:t>
      </w:r>
      <w:r w:rsidRPr="00312110">
        <w:rPr>
          <w:rFonts w:ascii="Calibri" w:hAnsi="Calibri"/>
          <w:color w:val="auto"/>
          <w:sz w:val="22"/>
          <w:szCs w:val="22"/>
        </w:rPr>
        <w:t xml:space="preserve">“, který </w:t>
      </w:r>
      <w:r>
        <w:rPr>
          <w:rFonts w:ascii="Calibri" w:hAnsi="Calibri"/>
          <w:sz w:val="22"/>
          <w:szCs w:val="22"/>
        </w:rPr>
        <w:t xml:space="preserve">je součástí programu Inspiračního fóra - podpora proběhne prostřednictvím diskuzní série projektu </w:t>
      </w:r>
      <w:r>
        <w:rPr>
          <w:rFonts w:ascii="Calibri" w:hAnsi="Calibri"/>
          <w:b/>
          <w:bCs/>
          <w:sz w:val="22"/>
          <w:szCs w:val="22"/>
        </w:rPr>
        <w:t>EUNIC klastru Praha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„</w:t>
      </w:r>
      <w:proofErr w:type="spellStart"/>
      <w:r>
        <w:rPr>
          <w:rFonts w:ascii="Calibri" w:hAnsi="Calibri"/>
          <w:b/>
          <w:bCs/>
          <w:sz w:val="22"/>
          <w:szCs w:val="22"/>
        </w:rPr>
        <w:t>Idea´s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Yard: </w:t>
      </w:r>
      <w:proofErr w:type="spellStart"/>
      <w:r>
        <w:rPr>
          <w:rFonts w:ascii="Calibri" w:hAnsi="Calibri"/>
          <w:b/>
          <w:bCs/>
          <w:sz w:val="22"/>
          <w:szCs w:val="22"/>
        </w:rPr>
        <w:t>Talking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About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Europe</w:t>
      </w:r>
      <w:proofErr w:type="spellEnd"/>
      <w:r>
        <w:rPr>
          <w:rFonts w:ascii="Calibri" w:hAnsi="Calibri"/>
          <w:b/>
          <w:bCs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 xml:space="preserve">. Inspirační fórum je diskuzní platformou organizovanou při příležitosti </w:t>
      </w:r>
      <w:r>
        <w:rPr>
          <w:rFonts w:ascii="Calibri" w:hAnsi="Calibri"/>
          <w:b/>
          <w:bCs/>
          <w:sz w:val="22"/>
          <w:szCs w:val="22"/>
        </w:rPr>
        <w:t xml:space="preserve">25. Mezinárodního festivalu dokumentárních filmů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Ji</w:t>
      </w:r>
      <w:proofErr w:type="gramEnd"/>
      <w:r>
        <w:rPr>
          <w:rFonts w:ascii="Calibri" w:hAnsi="Calibri"/>
          <w:b/>
          <w:bCs/>
          <w:sz w:val="22"/>
          <w:szCs w:val="22"/>
        </w:rPr>
        <w:t>.</w:t>
      </w:r>
      <w:proofErr w:type="gramStart"/>
      <w:r>
        <w:rPr>
          <w:rFonts w:ascii="Calibri" w:hAnsi="Calibri"/>
          <w:b/>
          <w:bCs/>
          <w:sz w:val="22"/>
          <w:szCs w:val="22"/>
        </w:rPr>
        <w:t>hlava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, který se bude konat ve dnech </w:t>
      </w:r>
      <w:r>
        <w:rPr>
          <w:rFonts w:ascii="Calibri" w:hAnsi="Calibri"/>
          <w:b/>
          <w:bCs/>
          <w:sz w:val="22"/>
          <w:szCs w:val="22"/>
        </w:rPr>
        <w:t>26. – 31. 10. 2021 v Jihlavě</w:t>
      </w:r>
      <w:r>
        <w:rPr>
          <w:rFonts w:ascii="Calibri" w:hAnsi="Calibri"/>
          <w:sz w:val="22"/>
          <w:szCs w:val="22"/>
        </w:rPr>
        <w:t xml:space="preserve"> (dále jen „akce“), přičemž tematický blok “</w:t>
      </w:r>
      <w:r w:rsidR="00312110" w:rsidRPr="00312110">
        <w:t xml:space="preserve"> </w:t>
      </w:r>
      <w:r w:rsidR="00312110" w:rsidRPr="00312110">
        <w:rPr>
          <w:rFonts w:ascii="Calibri" w:hAnsi="Calibri"/>
          <w:sz w:val="22"/>
          <w:szCs w:val="22"/>
        </w:rPr>
        <w:t xml:space="preserve">Rovnice zítřka / O rovnosti a nerovnostech </w:t>
      </w:r>
      <w:r>
        <w:rPr>
          <w:rFonts w:ascii="Calibri" w:hAnsi="Calibri"/>
          <w:sz w:val="22"/>
          <w:szCs w:val="22"/>
        </w:rPr>
        <w:t>” proběhne ve dni 28. 10. 2021. Partner je hlavním pořadatelem akce.</w:t>
      </w:r>
    </w:p>
    <w:p w:rsidR="00702F68" w:rsidRDefault="00285076">
      <w:pPr>
        <w:pStyle w:val="Bezmezer"/>
        <w:spacing w:before="240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>II.</w:t>
      </w:r>
    </w:p>
    <w:p w:rsidR="00702F68" w:rsidRDefault="00285076">
      <w:pPr>
        <w:pStyle w:val="Bezmezer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 xml:space="preserve">ZÁVAZKY ČC </w:t>
      </w:r>
    </w:p>
    <w:p w:rsidR="00702F68" w:rsidRDefault="00285076">
      <w:pPr>
        <w:pStyle w:val="Bezmezer"/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ČC se budou podílet na nákladech spojených s konáním a zajištěním akce (typ nákladů: </w:t>
      </w:r>
      <w:r w:rsidRPr="0055772C">
        <w:rPr>
          <w:rFonts w:ascii="Calibri" w:hAnsi="Calibri"/>
          <w:sz w:val="22"/>
          <w:szCs w:val="22"/>
        </w:rPr>
        <w:t xml:space="preserve">ubytování, dopravné a honoráře pro účastníky, technické zajištění) příspěvkem ve výši </w:t>
      </w:r>
      <w:r w:rsidRPr="0055772C">
        <w:rPr>
          <w:rFonts w:ascii="Calibri" w:hAnsi="Calibri"/>
          <w:b/>
          <w:bCs/>
          <w:sz w:val="22"/>
          <w:szCs w:val="22"/>
        </w:rPr>
        <w:t>50.000 Kč</w:t>
      </w:r>
      <w:r w:rsidRPr="0055772C">
        <w:rPr>
          <w:rFonts w:ascii="Calibri" w:hAnsi="Calibri"/>
          <w:sz w:val="22"/>
          <w:szCs w:val="22"/>
        </w:rPr>
        <w:t xml:space="preserve">, slovy: padesát tisíc korun českých. </w:t>
      </w:r>
      <w:r w:rsidRPr="0055772C">
        <w:rPr>
          <w:rFonts w:ascii="Calibri" w:hAnsi="Calibri"/>
          <w:color w:val="auto"/>
          <w:sz w:val="22"/>
          <w:szCs w:val="22"/>
        </w:rPr>
        <w:t>Specifikace konkrétního programu je součástí přílohy č</w:t>
      </w:r>
      <w:r w:rsidR="00312110" w:rsidRPr="0055772C">
        <w:rPr>
          <w:rFonts w:ascii="Calibri" w:hAnsi="Calibri"/>
          <w:color w:val="auto"/>
          <w:sz w:val="22"/>
          <w:szCs w:val="22"/>
        </w:rPr>
        <w:t xml:space="preserve">. </w:t>
      </w:r>
      <w:r w:rsidRPr="0055772C">
        <w:rPr>
          <w:rFonts w:ascii="Calibri" w:hAnsi="Calibri"/>
          <w:color w:val="auto"/>
          <w:sz w:val="22"/>
          <w:szCs w:val="22"/>
        </w:rPr>
        <w:t>1 té</w:t>
      </w:r>
      <w:r w:rsidR="00312110" w:rsidRPr="0055772C">
        <w:rPr>
          <w:rFonts w:ascii="Calibri" w:hAnsi="Calibri"/>
          <w:color w:val="auto"/>
          <w:sz w:val="22"/>
          <w:szCs w:val="22"/>
        </w:rPr>
        <w:t>to smlouvy.</w:t>
      </w:r>
      <w:r w:rsidR="00312110" w:rsidRPr="00312110">
        <w:rPr>
          <w:rFonts w:ascii="Calibri" w:hAnsi="Calibri"/>
          <w:color w:val="auto"/>
          <w:sz w:val="22"/>
          <w:szCs w:val="22"/>
        </w:rPr>
        <w:t xml:space="preserve"> </w:t>
      </w:r>
    </w:p>
    <w:p w:rsidR="00702F68" w:rsidRDefault="00285076">
      <w:pPr>
        <w:pStyle w:val="Bezmezer"/>
        <w:numPr>
          <w:ilvl w:val="0"/>
          <w:numId w:val="2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Příspěvek uhradí ČC Partnerovi do 15 dnů od uzavření této smlouvy na shora uvedený účet Partnera.</w:t>
      </w:r>
    </w:p>
    <w:p w:rsidR="00312110" w:rsidRDefault="00312110" w:rsidP="00312110">
      <w:pPr>
        <w:pStyle w:val="Bezmezer"/>
        <w:spacing w:before="120"/>
        <w:ind w:left="426"/>
        <w:jc w:val="both"/>
        <w:rPr>
          <w:rFonts w:ascii="Calibri" w:hAnsi="Calibri"/>
          <w:sz w:val="22"/>
          <w:szCs w:val="22"/>
        </w:rPr>
      </w:pPr>
    </w:p>
    <w:p w:rsidR="00312110" w:rsidRDefault="00312110" w:rsidP="00312110">
      <w:pPr>
        <w:pStyle w:val="Bezmezer"/>
        <w:spacing w:before="120"/>
        <w:ind w:left="426"/>
        <w:jc w:val="both"/>
        <w:rPr>
          <w:rFonts w:ascii="Calibri" w:hAnsi="Calibri"/>
          <w:sz w:val="22"/>
          <w:szCs w:val="22"/>
        </w:rPr>
      </w:pPr>
    </w:p>
    <w:p w:rsidR="00312110" w:rsidRDefault="00312110" w:rsidP="00312110">
      <w:pPr>
        <w:pStyle w:val="Bezmezer"/>
        <w:spacing w:before="120"/>
        <w:ind w:left="426"/>
        <w:jc w:val="both"/>
        <w:rPr>
          <w:rFonts w:ascii="Calibri" w:hAnsi="Calibri"/>
          <w:sz w:val="22"/>
          <w:szCs w:val="22"/>
        </w:rPr>
      </w:pPr>
    </w:p>
    <w:p w:rsidR="00312110" w:rsidRDefault="00312110" w:rsidP="00312110">
      <w:pPr>
        <w:pStyle w:val="Bezmezer"/>
        <w:spacing w:before="120"/>
        <w:ind w:left="426"/>
        <w:jc w:val="both"/>
        <w:rPr>
          <w:rFonts w:ascii="Calibri" w:hAnsi="Calibri"/>
          <w:sz w:val="22"/>
          <w:szCs w:val="22"/>
        </w:rPr>
      </w:pPr>
    </w:p>
    <w:p w:rsidR="00702F68" w:rsidRDefault="00285076">
      <w:pPr>
        <w:pStyle w:val="Bezmezer"/>
        <w:spacing w:before="120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lastRenderedPageBreak/>
        <w:t>III.</w:t>
      </w:r>
    </w:p>
    <w:p w:rsidR="00702F68" w:rsidRDefault="00285076">
      <w:pPr>
        <w:pStyle w:val="Bezmezer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>Závazky PARTNERA</w:t>
      </w:r>
    </w:p>
    <w:p w:rsidR="00702F68" w:rsidRDefault="00285076">
      <w:pPr>
        <w:pStyle w:val="Bezmezer"/>
        <w:numPr>
          <w:ilvl w:val="0"/>
          <w:numId w:val="4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Partner uvede ČC </w:t>
      </w:r>
      <w:r w:rsidRPr="00312110">
        <w:rPr>
          <w:rFonts w:ascii="Calibri" w:hAnsi="Calibri"/>
          <w:color w:val="auto"/>
          <w:sz w:val="22"/>
          <w:szCs w:val="22"/>
        </w:rPr>
        <w:t>a EUNIC Praha na všech svých komunikačních a propagačních materiálech v tištěné i online podobě jako spolupořadatele</w:t>
      </w:r>
      <w:r w:rsidR="00312110" w:rsidRPr="0031211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akce. Uvedení loga ČC a EUNIC na propagačních materiálech akce není považováno za poskytnutí služeb reklamy. </w:t>
      </w:r>
    </w:p>
    <w:p w:rsidR="00702F68" w:rsidRDefault="00285076">
      <w:pPr>
        <w:pStyle w:val="Bezmezer"/>
        <w:numPr>
          <w:ilvl w:val="0"/>
          <w:numId w:val="4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Partner poskytne ČC detailní položkové vy</w:t>
      </w:r>
      <w:r w:rsidR="0055772C">
        <w:rPr>
          <w:rFonts w:ascii="Calibri" w:hAnsi="Calibri"/>
          <w:sz w:val="22"/>
          <w:szCs w:val="22"/>
        </w:rPr>
        <w:t>účtování příspěvku na akci do 30</w:t>
      </w:r>
      <w:r>
        <w:rPr>
          <w:rFonts w:ascii="Calibri" w:hAnsi="Calibri"/>
          <w:sz w:val="22"/>
          <w:szCs w:val="22"/>
        </w:rPr>
        <w:t xml:space="preserve"> dnů po jejím skončení.</w:t>
      </w:r>
    </w:p>
    <w:p w:rsidR="00702F68" w:rsidRDefault="00285076">
      <w:pPr>
        <w:pStyle w:val="Bezmezer"/>
        <w:spacing w:before="240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>IV.</w:t>
      </w:r>
    </w:p>
    <w:p w:rsidR="00702F68" w:rsidRDefault="00285076">
      <w:pPr>
        <w:pStyle w:val="Bezmezer"/>
        <w:jc w:val="center"/>
        <w:rPr>
          <w:rFonts w:ascii="Calibri" w:eastAsia="Calibri" w:hAnsi="Calibri" w:cs="Calibri"/>
          <w:b/>
          <w:bCs/>
          <w:caps/>
        </w:rPr>
      </w:pPr>
      <w:r>
        <w:rPr>
          <w:rFonts w:ascii="Calibri" w:hAnsi="Calibri"/>
          <w:b/>
          <w:bCs/>
          <w:caps/>
        </w:rPr>
        <w:t>Závěrečná ustanovení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Vztahy vyplývající z této smlouvy, avšak touto smlouvou výslovně neupravené, se řídí českým právem, zejména příslušnými ustanoveními občanského zákoníku a souvisejícími obecně závaznými právními předpisy, v platném znění. 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Smlouva nabývá platnosti a účinnosti dnem podpisu této smlouvy oběma stranami. V případě, že tato smlouva podléhá povinnosti zveřejnění </w:t>
      </w:r>
      <w:proofErr w:type="gramStart"/>
      <w:r>
        <w:rPr>
          <w:rFonts w:ascii="Calibri" w:hAnsi="Calibri"/>
          <w:sz w:val="22"/>
          <w:szCs w:val="22"/>
        </w:rPr>
        <w:t xml:space="preserve">dle </w:t>
      </w:r>
      <w:proofErr w:type="spellStart"/>
      <w:r>
        <w:rPr>
          <w:rFonts w:ascii="Calibri" w:hAnsi="Calibri"/>
          <w:sz w:val="22"/>
          <w:szCs w:val="22"/>
        </w:rPr>
        <w:t>z.č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  <w:r>
        <w:rPr>
          <w:rFonts w:ascii="Calibri" w:hAnsi="Calibri"/>
          <w:sz w:val="22"/>
          <w:szCs w:val="22"/>
        </w:rPr>
        <w:t xml:space="preserve"> 340/2015 Sb., o registru smluv, v platném znění, nabývá účinnosti dnem zveřejnění v registru smluv. 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 smlouvu mohou smluvní strany ukončit vzájemnou dohodou. Dohoda musí být učiněna písemně a podepsána zástupci obou stran. V dohodě musí být stanoveno, jakým způsobem budou vypořádány vzájemné závazky.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 smlouvy je možné jednostranně odstoupit:</w:t>
      </w:r>
    </w:p>
    <w:p w:rsidR="00702F68" w:rsidRDefault="00285076">
      <w:pPr>
        <w:pStyle w:val="Bezmezer"/>
        <w:numPr>
          <w:ilvl w:val="0"/>
          <w:numId w:val="8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 porušení závazků uvedených v článcích II. a III. této smlouvy s prodlením přesahujícím deset (10) dnů, nebo </w:t>
      </w:r>
    </w:p>
    <w:p w:rsidR="00702F68" w:rsidRDefault="00285076">
      <w:pPr>
        <w:pStyle w:val="Bezmezer"/>
        <w:numPr>
          <w:ilvl w:val="0"/>
          <w:numId w:val="9"/>
        </w:numPr>
        <w:jc w:val="both"/>
        <w:rPr>
          <w:rFonts w:ascii="Calibri" w:hAnsi="Calibri"/>
          <w:color w:val="E36C0A"/>
          <w:sz w:val="22"/>
          <w:szCs w:val="22"/>
        </w:rPr>
      </w:pPr>
      <w:r>
        <w:rPr>
          <w:rFonts w:ascii="Calibri" w:hAnsi="Calibri"/>
          <w:sz w:val="22"/>
          <w:szCs w:val="22"/>
        </w:rPr>
        <w:t>z důvodu neuskutečnění akce nebo ohrožení jejího průběhu.</w:t>
      </w:r>
    </w:p>
    <w:p w:rsidR="00702F68" w:rsidRDefault="00285076">
      <w:pPr>
        <w:pStyle w:val="Bezmezer"/>
        <w:numPr>
          <w:ilvl w:val="0"/>
          <w:numId w:val="10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Odstoupení od smlouvy musí být učiněno písemně a je účinné doručením druhé smluvní straně. Odstoupením od této smlouvy není dotčeno právo na náhradu škody. V případě odstoupení od smlouvy podle odst. 4. písm. b) se smluvní strany zavazují podle okolností provést nezbytné kroky směřující k eliminaci ztrát nebo jejich snížení (např. storno objednávek souvisejících se zajištěním akce, ukončení smluv) a provést podle okolností následné finanční vypořádání.   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všechny závazné projevy vůle je třeba činit písemnou formou a doručit je druhé smluvní straně. 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je podepsána vlastnoručně, nebo elektronicky. Je-li smlouva podepsána vlastnoručně, je vyhotovena ve dvou (2) stejnopisech, z nichž každý bude považován za prvopis. Každá smluvní strana obdrží jeden (1) stejnopis této smlouvy. Je-li tato smlouva podepsána elektronicky, je podepsána pomocí uznávaného elektronického podpisu dle zákona č. 297/2016 Sb., o službách vytvářejících důvěru pro elektronické transakce, ve znění pozdějších předpisů, osoby oprávněné jednat za smluvní stranu.</w:t>
      </w:r>
    </w:p>
    <w:p w:rsidR="00702F68" w:rsidRDefault="00285076">
      <w:pPr>
        <w:pStyle w:val="Bezmezer"/>
        <w:numPr>
          <w:ilvl w:val="0"/>
          <w:numId w:val="6"/>
        </w:numPr>
        <w:suppressAutoHyphens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účely této smlouvy se za písemnou formu nepovažuje výměna e-mailových zpráv či jiných elektronických zpráv; to neplatí, podepisuje-li se smlouva elektronicky. 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dále dohodly na tomto náhradním způsobu doručení všech písemností odesílaných v souvislosti s touto smlouvou anebo na základě této smlouvy (včetně všech hmotněprávních úkonů): Jestliže se prostřednictvím držitele poštovní licence nepodaří doručit písemnost, zaslanou doporučeně s tzv. dodejkou druhé smluvní straně na adresu uvedenou v záhlaví této smlouvy, považuje se pro účely této smlouvy třetí (3.) den po odeslání za den jejího doručení, i když se adresát o jejím doručování nedozvěděl.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Neplatnost některého ustanovení této smlouvy nemá za následek neplatnost smlouvy celé, ledaže takové účinky vyplývají ze závazného právního předpisu. Strany se zavazují případně </w:t>
      </w:r>
      <w:r>
        <w:rPr>
          <w:rFonts w:ascii="Calibri" w:hAnsi="Calibri"/>
          <w:sz w:val="22"/>
          <w:szCs w:val="22"/>
        </w:rPr>
        <w:lastRenderedPageBreak/>
        <w:t>neplatné ustanovení nahradit vzájemnou dohodou ustanovením platným, kterým je sledován týž účel, a jsou zachovány srovnatelné podmínky pro jeho dosažení.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Žádná ze stran této smlouvy není oprávněna postoupit třetí straně závazky anebo práva vyplývající z této smlouvy.</w:t>
      </w:r>
    </w:p>
    <w:p w:rsidR="00702F68" w:rsidRDefault="00285076">
      <w:pPr>
        <w:pStyle w:val="Bezmezer"/>
        <w:numPr>
          <w:ilvl w:val="0"/>
          <w:numId w:val="6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Tuto smlouvu lze měnit a doplňovat pouze písemnou formou po vzájemné dohodě obou stran. </w:t>
      </w:r>
    </w:p>
    <w:p w:rsidR="00702F68" w:rsidRDefault="00702F68">
      <w:pPr>
        <w:pStyle w:val="Bezmezer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:rsidR="00702F68" w:rsidRDefault="00285076">
      <w:pPr>
        <w:spacing w:before="48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</w:t>
      </w:r>
      <w:r w:rsidR="00312110">
        <w:rPr>
          <w:rFonts w:ascii="Calibri" w:hAnsi="Calibri"/>
          <w:sz w:val="22"/>
          <w:szCs w:val="22"/>
        </w:rPr>
        <w:t>Praze dne 14</w:t>
      </w:r>
      <w:r>
        <w:rPr>
          <w:rFonts w:ascii="Calibri" w:hAnsi="Calibri"/>
          <w:sz w:val="22"/>
          <w:szCs w:val="22"/>
        </w:rPr>
        <w:t>. 10. 2021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</w:t>
      </w:r>
      <w:r w:rsidR="00312110">
        <w:rPr>
          <w:rFonts w:ascii="Calibri" w:hAnsi="Calibri"/>
          <w:sz w:val="22"/>
          <w:szCs w:val="22"/>
        </w:rPr>
        <w:t>Praze dne 15</w:t>
      </w:r>
      <w:r>
        <w:rPr>
          <w:rFonts w:ascii="Calibri" w:hAnsi="Calibri"/>
          <w:sz w:val="22"/>
          <w:szCs w:val="22"/>
        </w:rPr>
        <w:t>. 10. 2021</w:t>
      </w:r>
    </w:p>
    <w:p w:rsidR="00702F68" w:rsidRDefault="00702F68">
      <w:pPr>
        <w:spacing w:before="120"/>
        <w:rPr>
          <w:rFonts w:ascii="Calibri" w:eastAsia="Calibri" w:hAnsi="Calibri" w:cs="Calibri"/>
          <w:sz w:val="22"/>
          <w:szCs w:val="22"/>
        </w:rPr>
      </w:pPr>
    </w:p>
    <w:p w:rsidR="00702F68" w:rsidRDefault="00702F68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</w:p>
    <w:p w:rsidR="00702F68" w:rsidRDefault="00702F68">
      <w:pPr>
        <w:spacing w:before="120"/>
        <w:rPr>
          <w:rFonts w:ascii="Calibri" w:eastAsia="Calibri" w:hAnsi="Calibri" w:cs="Calibri"/>
          <w:sz w:val="22"/>
          <w:szCs w:val="22"/>
          <w:lang w:val="de-DE"/>
        </w:rPr>
      </w:pPr>
    </w:p>
    <w:p w:rsidR="00702F68" w:rsidRDefault="00285076">
      <w:p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……………………………….……………………</w:t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eastAsia="Calibri" w:hAnsi="Calibri" w:cs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</w:rPr>
        <w:t>……………………………….……………………</w:t>
      </w:r>
    </w:p>
    <w:p w:rsidR="00702F68" w:rsidRDefault="00285076">
      <w:pPr>
        <w:pStyle w:val="Zkladntext2"/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line">
                  <wp:posOffset>63421</wp:posOffset>
                </wp:positionV>
                <wp:extent cx="96920" cy="24769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20" cy="2476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2720" y="21600"/>
                              </a:lnTo>
                              <a:lnTo>
                                <a:pt x="14400" y="0"/>
                              </a:lnTo>
                              <a:lnTo>
                                <a:pt x="1272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18.4pt;margin-top:5.0pt;width:7.6pt;height: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21600 L 12720,21600 L 14400,0 L 12720,21600 L 21600,0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line">
                  <wp:posOffset>1806503</wp:posOffset>
                </wp:positionV>
                <wp:extent cx="96920" cy="3554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20" cy="355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2720" y="21600"/>
                              </a:lnTo>
                              <a:lnTo>
                                <a:pt x="14400" y="0"/>
                              </a:lnTo>
                              <a:lnTo>
                                <a:pt x="1272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-18.4pt;margin-top:142.2pt;width:7.6pt;height:2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21600 L 12720,21600 L 14400,0 L 12720,21600 L 21600,0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line">
                  <wp:posOffset>488218</wp:posOffset>
                </wp:positionV>
                <wp:extent cx="96920" cy="2188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20" cy="218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2720" y="21600"/>
                              </a:lnTo>
                              <a:lnTo>
                                <a:pt x="14400" y="0"/>
                              </a:lnTo>
                              <a:lnTo>
                                <a:pt x="1272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-18.4pt;margin-top:38.4pt;width:7.6pt;height:1.7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21600 L 12720,21600 L 14400,0 L 12720,21600 L 21600,0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line">
                  <wp:posOffset>2271298</wp:posOffset>
                </wp:positionV>
                <wp:extent cx="96477" cy="21885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7" cy="218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6720" y="21600"/>
                              </a:lnTo>
                              <a:lnTo>
                                <a:pt x="14400" y="0"/>
                              </a:lnTo>
                              <a:lnTo>
                                <a:pt x="672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-14.7pt;margin-top:178.8pt;width:7.6pt;height:1.7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21600 L 6720,21600 L 14400,0 L 6720,21600 L 21600,0 X E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bookmarkStart w:id="1" w:name="_UnoMark__475_1990225967"/>
      <w:bookmarkEnd w:id="1"/>
      <w:r>
        <w:rPr>
          <w:rFonts w:ascii="Calibri" w:hAnsi="Calibri"/>
          <w:i w:val="0"/>
          <w:iCs w:val="0"/>
          <w:caps/>
          <w:sz w:val="22"/>
          <w:szCs w:val="22"/>
        </w:rPr>
        <w:t>Česká centra</w:t>
      </w:r>
      <w:r>
        <w:rPr>
          <w:rFonts w:ascii="Calibri" w:hAnsi="Calibri"/>
          <w:i w:val="0"/>
          <w:iCs w:val="0"/>
          <w:caps/>
          <w:sz w:val="22"/>
          <w:szCs w:val="22"/>
        </w:rPr>
        <w:tab/>
      </w:r>
      <w:r>
        <w:rPr>
          <w:rFonts w:ascii="Calibri" w:hAnsi="Calibri"/>
          <w:i w:val="0"/>
          <w:iCs w:val="0"/>
          <w:caps/>
          <w:sz w:val="22"/>
          <w:szCs w:val="22"/>
        </w:rPr>
        <w:tab/>
      </w:r>
      <w:r>
        <w:rPr>
          <w:rFonts w:ascii="Calibri" w:hAnsi="Calibri"/>
          <w:i w:val="0"/>
          <w:iCs w:val="0"/>
          <w:caps/>
          <w:sz w:val="22"/>
          <w:szCs w:val="22"/>
        </w:rPr>
        <w:tab/>
      </w:r>
      <w:r>
        <w:rPr>
          <w:rFonts w:ascii="Calibri" w:hAnsi="Calibri"/>
          <w:i w:val="0"/>
          <w:iCs w:val="0"/>
          <w:caps/>
          <w:sz w:val="22"/>
          <w:szCs w:val="22"/>
        </w:rPr>
        <w:tab/>
      </w:r>
      <w:r>
        <w:rPr>
          <w:rFonts w:ascii="Calibri" w:hAnsi="Calibri"/>
          <w:i w:val="0"/>
          <w:iCs w:val="0"/>
          <w:caps/>
          <w:sz w:val="22"/>
          <w:szCs w:val="22"/>
        </w:rPr>
        <w:tab/>
      </w:r>
      <w:r>
        <w:rPr>
          <w:rFonts w:ascii="Calibri" w:hAnsi="Calibri"/>
          <w:i w:val="0"/>
          <w:iCs w:val="0"/>
          <w:caps/>
          <w:sz w:val="22"/>
          <w:szCs w:val="22"/>
        </w:rPr>
        <w:tab/>
      </w:r>
      <w:r>
        <w:rPr>
          <w:rFonts w:ascii="Calibri" w:hAnsi="Calibri"/>
          <w:i w:val="0"/>
          <w:iCs w:val="0"/>
          <w:caps/>
          <w:sz w:val="22"/>
          <w:szCs w:val="22"/>
        </w:rPr>
        <w:tab/>
        <w:t xml:space="preserve">Partner </w:t>
      </w:r>
    </w:p>
    <w:sectPr w:rsidR="00702F68" w:rsidSect="00312110">
      <w:headerReference w:type="default" r:id="rId8"/>
      <w:footerReference w:type="default" r:id="rId9"/>
      <w:pgSz w:w="11900" w:h="16840"/>
      <w:pgMar w:top="1702" w:right="1558" w:bottom="993" w:left="1276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BE" w:rsidRDefault="008B44BE">
      <w:r>
        <w:separator/>
      </w:r>
    </w:p>
  </w:endnote>
  <w:endnote w:type="continuationSeparator" w:id="0">
    <w:p w:rsidR="008B44BE" w:rsidRDefault="008B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68" w:rsidRDefault="00285076">
    <w:pPr>
      <w:pStyle w:val="Zpat"/>
      <w:tabs>
        <w:tab w:val="clear" w:pos="9072"/>
        <w:tab w:val="right" w:pos="9046"/>
      </w:tabs>
      <w:jc w:val="center"/>
    </w:pPr>
    <w:r>
      <w:rPr>
        <w:rFonts w:ascii="Calibri" w:hAnsi="Calibri"/>
        <w:sz w:val="22"/>
        <w:szCs w:val="22"/>
      </w:rPr>
      <w:t xml:space="preserve">Stránka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 w:rsidR="009962EE">
      <w:rPr>
        <w:rFonts w:ascii="Calibri" w:eastAsia="Calibri" w:hAnsi="Calibri" w:cs="Calibri"/>
        <w:b/>
        <w:bCs/>
        <w:noProof/>
        <w:sz w:val="22"/>
        <w:szCs w:val="22"/>
      </w:rPr>
      <w:t>2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z </w:t>
    </w:r>
    <w:r>
      <w:rPr>
        <w:rFonts w:ascii="Calibri" w:eastAsia="Calibri" w:hAnsi="Calibri" w:cs="Calibri"/>
        <w:b/>
        <w:bCs/>
        <w:sz w:val="22"/>
        <w:szCs w:val="22"/>
      </w:rPr>
      <w:fldChar w:fldCharType="begin"/>
    </w:r>
    <w:r>
      <w:rPr>
        <w:rFonts w:ascii="Calibri" w:eastAsia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eastAsia="Calibri" w:hAnsi="Calibri" w:cs="Calibri"/>
        <w:b/>
        <w:bCs/>
        <w:sz w:val="22"/>
        <w:szCs w:val="22"/>
      </w:rPr>
      <w:fldChar w:fldCharType="separate"/>
    </w:r>
    <w:r w:rsidR="009962EE">
      <w:rPr>
        <w:rFonts w:ascii="Calibri" w:eastAsia="Calibri" w:hAnsi="Calibri" w:cs="Calibri"/>
        <w:b/>
        <w:bCs/>
        <w:noProof/>
        <w:sz w:val="22"/>
        <w:szCs w:val="22"/>
      </w:rPr>
      <w:t>3</w:t>
    </w:r>
    <w:r>
      <w:rPr>
        <w:rFonts w:ascii="Calibri" w:eastAsia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BE" w:rsidRDefault="008B44BE">
      <w:r>
        <w:separator/>
      </w:r>
    </w:p>
  </w:footnote>
  <w:footnote w:type="continuationSeparator" w:id="0">
    <w:p w:rsidR="008B44BE" w:rsidRDefault="008B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68" w:rsidRDefault="00312110">
    <w:pPr>
      <w:pStyle w:val="Zhlav"/>
      <w:tabs>
        <w:tab w:val="clear" w:pos="9072"/>
        <w:tab w:val="left" w:pos="5850"/>
        <w:tab w:val="right" w:pos="9046"/>
      </w:tabs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935" distR="114935" simplePos="0" relativeHeight="251661312" behindDoc="0" locked="0" layoutInCell="1" allowOverlap="1" wp14:anchorId="7E40D618" wp14:editId="1862405F">
          <wp:simplePos x="0" y="0"/>
          <wp:positionH relativeFrom="column">
            <wp:posOffset>-241300</wp:posOffset>
          </wp:positionH>
          <wp:positionV relativeFrom="paragraph">
            <wp:posOffset>-295274</wp:posOffset>
          </wp:positionV>
          <wp:extent cx="2369185" cy="84201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185" cy="842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076"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C4C347D" wp14:editId="628646D2">
              <wp:simplePos x="0" y="0"/>
              <wp:positionH relativeFrom="page">
                <wp:posOffset>-2820034</wp:posOffset>
              </wp:positionH>
              <wp:positionV relativeFrom="page">
                <wp:posOffset>106679</wp:posOffset>
              </wp:positionV>
              <wp:extent cx="2513965" cy="892811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3965" cy="892811"/>
                        <a:chOff x="0" y="0"/>
                        <a:chExt cx="2513964" cy="89281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2513965" cy="8928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3965" cy="89281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-222.1pt;margin-top:8.4pt;width:197.9pt;height:70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13965,892810">
              <w10:wrap type="none" side="bothSides" anchorx="page" anchory="page"/>
              <v:rect id="_x0000_s1031" style="position:absolute;left:0;top:0;width:2513965;height:89281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2513965;height:892810;">
                <v:imagedata r:id="rId2" o:title="image.png"/>
              </v:shape>
            </v:group>
          </w:pict>
        </mc:Fallback>
      </mc:AlternateContent>
    </w:r>
    <w:r w:rsidR="00285076"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5457D4F5" wp14:editId="48919FB5">
              <wp:simplePos x="0" y="0"/>
              <wp:positionH relativeFrom="page">
                <wp:posOffset>434974</wp:posOffset>
              </wp:positionH>
              <wp:positionV relativeFrom="page">
                <wp:posOffset>194944</wp:posOffset>
              </wp:positionV>
              <wp:extent cx="2369186" cy="842011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9186" cy="842011"/>
                        <a:chOff x="0" y="0"/>
                        <a:chExt cx="2369185" cy="842010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2369186" cy="8420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9186" cy="84201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3" style="visibility:visible;position:absolute;margin-left:34.2pt;margin-top:15.3pt;width:186.6pt;height:66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369185,842010">
              <w10:wrap type="none" side="bothSides" anchorx="page" anchory="page"/>
              <v:rect id="_x0000_s1034" style="position:absolute;left:0;top:0;width:2369185;height:84201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5" type="#_x0000_t75" style="position:absolute;left:0;top:0;width:2369185;height:842010;">
                <v:imagedata r:id="rId2" o:title="image.png"/>
              </v:shape>
            </v:group>
          </w:pict>
        </mc:Fallback>
      </mc:AlternateContent>
    </w:r>
    <w:r w:rsidR="00285076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5A8C164" wp14:editId="060FDC9E">
              <wp:simplePos x="0" y="0"/>
              <wp:positionH relativeFrom="page">
                <wp:posOffset>5138420</wp:posOffset>
              </wp:positionH>
              <wp:positionV relativeFrom="page">
                <wp:posOffset>400050</wp:posOffset>
              </wp:positionV>
              <wp:extent cx="1482090" cy="347346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2090" cy="347346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rgbClr val="666666"/>
                        </a:solidFill>
                        <a:prstDash val="solid"/>
                        <a:round/>
                      </a:ln>
                      <a:effectLst>
                        <a:outerShdw blurRad="63500" dist="28398" dir="3806097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702F68" w:rsidRDefault="00285076">
                          <w:pPr>
                            <w:jc w:val="center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sz w:val="22"/>
                              <w:szCs w:val="22"/>
                            </w:rPr>
                            <w:t>2021/4625/6093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visibility:visible;position:absolute;margin-left:404.6pt;margin-top:31.5pt;width:116.7pt;height:27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666666" opacity="100.0%" weight="1.0pt" dashstyle="solid" endcap="flat" joinstyle="round" linestyle="single" startarrow="none" startarrowwidth="medium" startarrowlength="medium" endarrow="none" endarrowwidth="medium" endarrowlength="medium"/>
              <v:shadow on="t" color="#7F7F7F" opacity="0.5" offset="1.0pt,2.0pt"/>
              <v:textbox>
                <w:txbxContent>
                  <w:p>
                    <w:pPr>
                      <w:pStyle w:val="Normální"/>
                      <w:jc w:val="center"/>
                    </w:pPr>
                    <w:r>
                      <w:rPr>
                        <w:rFonts w:ascii="Calibri" w:hAnsi="Calibri"/>
                        <w:b w:val="1"/>
                        <w:bCs w:val="1"/>
                        <w:sz w:val="22"/>
                        <w:szCs w:val="22"/>
                        <w:rtl w:val="0"/>
                      </w:rPr>
                      <w:t>2021/4625/6093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 w:rsidR="00285076">
      <w:tab/>
    </w:r>
  </w:p>
  <w:p w:rsidR="00702F68" w:rsidRDefault="00702F68">
    <w:pPr>
      <w:pStyle w:val="Zhlav"/>
      <w:tabs>
        <w:tab w:val="clear" w:pos="9072"/>
        <w:tab w:val="right" w:pos="9046"/>
      </w:tabs>
      <w:rPr>
        <w:rFonts w:ascii="Calibri" w:hAnsi="Calibri"/>
        <w:sz w:val="22"/>
        <w:szCs w:val="22"/>
      </w:rPr>
    </w:pPr>
  </w:p>
  <w:p w:rsidR="00702F68" w:rsidRDefault="00285076">
    <w:pPr>
      <w:pStyle w:val="Zhlav"/>
      <w:tabs>
        <w:tab w:val="clear" w:pos="9072"/>
        <w:tab w:val="left" w:pos="3900"/>
        <w:tab w:val="right" w:pos="8647"/>
      </w:tabs>
      <w:jc w:val="right"/>
    </w:pPr>
    <w:r>
      <w:rPr>
        <w:rFonts w:ascii="Calibri" w:hAnsi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E91"/>
    <w:multiLevelType w:val="hybridMultilevel"/>
    <w:tmpl w:val="9CF87206"/>
    <w:styleLink w:val="ImportedStyle2"/>
    <w:lvl w:ilvl="0" w:tplc="EA94E14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01B6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6CDE0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C1C7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5C3B8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46060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D6DEC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8212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AABE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A40801"/>
    <w:multiLevelType w:val="hybridMultilevel"/>
    <w:tmpl w:val="A2949DB6"/>
    <w:styleLink w:val="ImportedStyle5"/>
    <w:lvl w:ilvl="0" w:tplc="EBBC2F9C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28F4FE">
      <w:start w:val="1"/>
      <w:numFmt w:val="lowerLetter"/>
      <w:lvlText w:val="%2."/>
      <w:lvlJc w:val="left"/>
      <w:pPr>
        <w:tabs>
          <w:tab w:val="left" w:pos="851"/>
        </w:tabs>
        <w:ind w:left="141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56EA20">
      <w:start w:val="1"/>
      <w:numFmt w:val="lowerRoman"/>
      <w:lvlText w:val="%3."/>
      <w:lvlJc w:val="left"/>
      <w:pPr>
        <w:tabs>
          <w:tab w:val="left" w:pos="851"/>
        </w:tabs>
        <w:ind w:left="2127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E0A3F4">
      <w:start w:val="1"/>
      <w:numFmt w:val="decimal"/>
      <w:lvlText w:val="%4."/>
      <w:lvlJc w:val="left"/>
      <w:pPr>
        <w:tabs>
          <w:tab w:val="left" w:pos="851"/>
        </w:tabs>
        <w:ind w:left="2836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4D440">
      <w:start w:val="1"/>
      <w:numFmt w:val="lowerLetter"/>
      <w:lvlText w:val="%5."/>
      <w:lvlJc w:val="left"/>
      <w:pPr>
        <w:tabs>
          <w:tab w:val="left" w:pos="851"/>
        </w:tabs>
        <w:ind w:left="3545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7C91B0">
      <w:start w:val="1"/>
      <w:numFmt w:val="lowerRoman"/>
      <w:suff w:val="nothing"/>
      <w:lvlText w:val="%6."/>
      <w:lvlJc w:val="left"/>
      <w:pPr>
        <w:tabs>
          <w:tab w:val="left" w:pos="851"/>
        </w:tabs>
        <w:ind w:left="4254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064842">
      <w:start w:val="1"/>
      <w:numFmt w:val="decimal"/>
      <w:lvlText w:val="%7."/>
      <w:lvlJc w:val="left"/>
      <w:pPr>
        <w:tabs>
          <w:tab w:val="left" w:pos="851"/>
        </w:tabs>
        <w:ind w:left="4963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0C0E78">
      <w:start w:val="1"/>
      <w:numFmt w:val="lowerLetter"/>
      <w:lvlText w:val="%8."/>
      <w:lvlJc w:val="left"/>
      <w:pPr>
        <w:tabs>
          <w:tab w:val="left" w:pos="851"/>
        </w:tabs>
        <w:ind w:left="5672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A097DE">
      <w:start w:val="1"/>
      <w:numFmt w:val="lowerRoman"/>
      <w:suff w:val="nothing"/>
      <w:lvlText w:val="%9."/>
      <w:lvlJc w:val="left"/>
      <w:pPr>
        <w:tabs>
          <w:tab w:val="left" w:pos="851"/>
        </w:tabs>
        <w:ind w:left="6381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F4B5EDA"/>
    <w:multiLevelType w:val="hybridMultilevel"/>
    <w:tmpl w:val="9CF87206"/>
    <w:numStyleLink w:val="ImportedStyle2"/>
  </w:abstractNum>
  <w:abstractNum w:abstractNumId="3">
    <w:nsid w:val="56F40C20"/>
    <w:multiLevelType w:val="hybridMultilevel"/>
    <w:tmpl w:val="A2949DB6"/>
    <w:numStyleLink w:val="ImportedStyle5"/>
  </w:abstractNum>
  <w:abstractNum w:abstractNumId="4">
    <w:nsid w:val="59AA1CBE"/>
    <w:multiLevelType w:val="hybridMultilevel"/>
    <w:tmpl w:val="A3244AD4"/>
    <w:styleLink w:val="ImportedStyle4"/>
    <w:lvl w:ilvl="0" w:tplc="19C866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2861A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8C783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690C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323F7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6A007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54BFB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92439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96D316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9E623E5"/>
    <w:multiLevelType w:val="hybridMultilevel"/>
    <w:tmpl w:val="70168B7C"/>
    <w:styleLink w:val="ImportedStyle3"/>
    <w:lvl w:ilvl="0" w:tplc="87AAEBF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C8F78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04F73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F86BB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5CB8D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F0DADC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C983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E7DD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C09EA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3766AAA"/>
    <w:multiLevelType w:val="hybridMultilevel"/>
    <w:tmpl w:val="A3244AD4"/>
    <w:numStyleLink w:val="ImportedStyle4"/>
  </w:abstractNum>
  <w:abstractNum w:abstractNumId="7">
    <w:nsid w:val="7DC950E8"/>
    <w:multiLevelType w:val="hybridMultilevel"/>
    <w:tmpl w:val="70168B7C"/>
    <w:numStyleLink w:val="ImportedStyle3"/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3"/>
    <w:lvlOverride w:ilvl="0">
      <w:lvl w:ilvl="0" w:tplc="BB289180">
        <w:start w:val="1"/>
        <w:numFmt w:val="lowerLetter"/>
        <w:lvlText w:val="%1)"/>
        <w:lvlJc w:val="left"/>
        <w:pPr>
          <w:ind w:left="8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86C2EE">
        <w:start w:val="1"/>
        <w:numFmt w:val="lowerLetter"/>
        <w:lvlText w:val="%2."/>
        <w:lvlJc w:val="left"/>
        <w:pPr>
          <w:tabs>
            <w:tab w:val="left" w:pos="851"/>
          </w:tabs>
          <w:ind w:left="1418" w:hanging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2CBF40">
        <w:start w:val="1"/>
        <w:numFmt w:val="lowerRoman"/>
        <w:lvlText w:val="%3."/>
        <w:lvlJc w:val="left"/>
        <w:pPr>
          <w:tabs>
            <w:tab w:val="left" w:pos="851"/>
          </w:tabs>
          <w:ind w:left="2127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68974E">
        <w:start w:val="1"/>
        <w:numFmt w:val="decimal"/>
        <w:lvlText w:val="%4."/>
        <w:lvlJc w:val="left"/>
        <w:pPr>
          <w:tabs>
            <w:tab w:val="left" w:pos="851"/>
          </w:tabs>
          <w:ind w:left="2836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0EB184">
        <w:start w:val="1"/>
        <w:numFmt w:val="lowerLetter"/>
        <w:lvlText w:val="%5."/>
        <w:lvlJc w:val="left"/>
        <w:pPr>
          <w:tabs>
            <w:tab w:val="left" w:pos="851"/>
          </w:tabs>
          <w:ind w:left="3545" w:hanging="2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5A4F72">
        <w:start w:val="1"/>
        <w:numFmt w:val="lowerRoman"/>
        <w:suff w:val="nothing"/>
        <w:lvlText w:val="%6."/>
        <w:lvlJc w:val="left"/>
        <w:pPr>
          <w:tabs>
            <w:tab w:val="left" w:pos="851"/>
          </w:tabs>
          <w:ind w:left="4254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88E58E">
        <w:start w:val="1"/>
        <w:numFmt w:val="decimal"/>
        <w:lvlText w:val="%7."/>
        <w:lvlJc w:val="left"/>
        <w:pPr>
          <w:tabs>
            <w:tab w:val="left" w:pos="851"/>
          </w:tabs>
          <w:ind w:left="4963" w:hanging="2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5C7C76">
        <w:start w:val="1"/>
        <w:numFmt w:val="lowerLetter"/>
        <w:lvlText w:val="%8."/>
        <w:lvlJc w:val="left"/>
        <w:pPr>
          <w:tabs>
            <w:tab w:val="left" w:pos="851"/>
          </w:tabs>
          <w:ind w:left="5672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F6AEF0">
        <w:start w:val="1"/>
        <w:numFmt w:val="lowerRoman"/>
        <w:suff w:val="nothing"/>
        <w:lvlText w:val="%9."/>
        <w:lvlJc w:val="left"/>
        <w:pPr>
          <w:tabs>
            <w:tab w:val="left" w:pos="851"/>
          </w:tabs>
          <w:ind w:left="6381" w:hanging="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2F68"/>
    <w:rsid w:val="00285076"/>
    <w:rsid w:val="00312110"/>
    <w:rsid w:val="0055772C"/>
    <w:rsid w:val="00702F68"/>
    <w:rsid w:val="008B44BE"/>
    <w:rsid w:val="009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zev">
    <w:name w:val="Title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Bezmezer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paragraph" w:styleId="Zkladntext2">
    <w:name w:val="Body Text 2"/>
    <w:pPr>
      <w:widowControl w:val="0"/>
    </w:pPr>
    <w:rPr>
      <w:rFonts w:ascii="Arial" w:eastAsia="Arial" w:hAnsi="Arial" w:cs="Arial"/>
      <w:i/>
      <w:iCs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zev">
    <w:name w:val="Title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Bezmezer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paragraph" w:styleId="Zkladntext2">
    <w:name w:val="Body Text 2"/>
    <w:pPr>
      <w:widowControl w:val="0"/>
    </w:pPr>
    <w:rPr>
      <w:rFonts w:ascii="Arial" w:eastAsia="Arial" w:hAnsi="Arial" w:cs="Arial"/>
      <w:i/>
      <w:i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792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Kožinová Michaela</cp:lastModifiedBy>
  <cp:revision>4</cp:revision>
  <dcterms:created xsi:type="dcterms:W3CDTF">2021-10-14T12:01:00Z</dcterms:created>
  <dcterms:modified xsi:type="dcterms:W3CDTF">2021-11-08T10:41:00Z</dcterms:modified>
</cp:coreProperties>
</file>