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6114415</wp:posOffset>
                </wp:positionH>
                <wp:positionV relativeFrom="paragraph">
                  <wp:posOffset>12700</wp:posOffset>
                </wp:positionV>
                <wp:extent cx="655320" cy="18288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5532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color w:val="000000"/>
                              </w:rPr>
                              <w:t>2021007456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1.44999999999999pt;margin-top:1.pt;width:51.600000000000001pt;height:14.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color w:val="000000"/>
                        </w:rPr>
                        <w:t>2021007456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8"/>
          <w:b/>
          <w:bCs/>
        </w:rPr>
        <w:t>KUPNÍ SMLOUVA</w:t>
      </w:r>
      <w:bookmarkEnd w:id="0"/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10"/>
        </w:rPr>
        <w:t>podle ustanovení § 2079 a násl. zákona č. 89/2012 Sb., občanský zákoník,</w:t>
        <w:br/>
        <w:t>uzavřená mezi</w:t>
      </w:r>
      <w:bookmarkEnd w:id="2"/>
    </w:p>
    <w:tbl>
      <w:tblPr>
        <w:tblOverlap w:val="never"/>
        <w:jc w:val="center"/>
        <w:tblLayout w:type="fixed"/>
      </w:tblPr>
      <w:tblGrid>
        <w:gridCol w:w="2707"/>
        <w:gridCol w:w="6326"/>
      </w:tblGrid>
      <w:tr>
        <w:trPr>
          <w:trHeight w:val="51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MUDr. Hana Albrechtová, ředitelka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2"/>
                <w:shd w:val="clear" w:color="auto" w:fill="000000"/>
              </w:rPr>
              <w:t>............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..</w:t>
            </w:r>
            <w:r>
              <w:rPr>
                <w:rStyle w:val="CharStyle15"/>
                <w:spacing w:val="3"/>
                <w:shd w:val="clear" w:color="auto" w:fill="000000"/>
              </w:rPr>
              <w:t>............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3"/>
                <w:shd w:val="clear" w:color="auto" w:fill="000000"/>
              </w:rPr>
              <w:t>..</w:t>
            </w:r>
            <w:r>
              <w:rPr>
                <w:rStyle w:val="CharStyle15"/>
                <w:spacing w:val="4"/>
                <w:shd w:val="clear" w:color="auto" w:fill="000000"/>
              </w:rPr>
              <w:t>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15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</w:t>
            </w:r>
            <w:r>
              <w:rPr>
                <w:rStyle w:val="CharStyle15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15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5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7"/>
                <w:shd w:val="clear" w:color="auto" w:fill="000000"/>
              </w:rPr>
              <w:t>......</w:t>
            </w:r>
            <w:r>
              <w:rPr>
                <w:rStyle w:val="CharStyle15"/>
                <w:shd w:val="clear" w:color="auto" w:fill="000000"/>
              </w:rPr>
              <w:t>​....</w:t>
            </w:r>
            <w:r>
              <w:rPr>
                <w:rStyle w:val="CharStyle15"/>
                <w:spacing w:val="1"/>
                <w:shd w:val="clear" w:color="auto" w:fill="000000"/>
              </w:rPr>
              <w:t>.....</w:t>
            </w:r>
            <w:r>
              <w:rPr>
                <w:rStyle w:val="CharStyle15"/>
                <w:shd w:val="clear" w:color="auto" w:fill="000000"/>
              </w:rPr>
              <w:t>​.......​</w:t>
            </w:r>
            <w:r>
              <w:rPr>
                <w:rStyle w:val="CharStyle15"/>
                <w:spacing w:val="6"/>
                <w:shd w:val="clear" w:color="auto" w:fill="000000"/>
              </w:rPr>
              <w:t>...</w:t>
            </w:r>
            <w:r>
              <w:rPr>
                <w:rStyle w:val="CharStyle15"/>
                <w:spacing w:val="7"/>
                <w:shd w:val="clear" w:color="auto" w:fill="000000"/>
              </w:rPr>
              <w:t>...</w:t>
            </w:r>
            <w:r>
              <w:rPr>
                <w:rStyle w:val="CharStyle15"/>
                <w:shd w:val="clear" w:color="auto" w:fill="000000"/>
              </w:rPr>
              <w:t>​......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CZ00346292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Krajský soud v Brně sp. zn. Pr 1245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MONETA Money Bank, a.s., č. ú.</w:t>
            </w:r>
            <w:r>
              <w:rPr>
                <w:rStyle w:val="CharStyle15"/>
                <w:shd w:val="clear" w:color="auto" w:fill="000000"/>
              </w:rPr>
              <w:t>.​</w:t>
            </w:r>
            <w:r>
              <w:rPr>
                <w:rStyle w:val="CharStyle15"/>
                <w:spacing w:val="1"/>
                <w:shd w:val="clear" w:color="auto" w:fill="000000"/>
              </w:rPr>
              <w:t>.............</w:t>
            </w:r>
            <w:r>
              <w:rPr>
                <w:rStyle w:val="CharStyle15"/>
                <w:spacing w:val="2"/>
                <w:shd w:val="clear" w:color="auto" w:fill="000000"/>
              </w:rPr>
              <w:t>.............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</w:rPr>
        <w:t>„kupující</w:t>
      </w:r>
      <w:r>
        <w:rPr>
          <w:rStyle w:val="CharStyle12"/>
          <w:b/>
          <w:bCs/>
          <w:i/>
          <w:iCs/>
          <w:vertAlign w:val="superscript"/>
        </w:rPr>
        <w:t>1</w:t>
      </w:r>
      <w:r>
        <w:rPr>
          <w:rStyle w:val="CharStyle12"/>
          <w:b/>
          <w:bCs/>
          <w:i/>
          <w:iCs/>
        </w:rPr>
        <w:t>)</w:t>
      </w:r>
    </w:p>
    <w:p>
      <w:pPr>
        <w:widowControl w:val="0"/>
        <w:spacing w:after="3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07"/>
        <w:gridCol w:w="6322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PROGRES SERVIS ŠIŘINA,spol.s r.o.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Masojedy59, 28201 Masojedy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Karel Rieger, Jan Hora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spacing w:val="8"/>
                <w:shd w:val="clear" w:color="auto" w:fill="000000"/>
              </w:rPr>
              <w:t>....</w:t>
            </w:r>
            <w:r>
              <w:rPr>
                <w:rStyle w:val="CharStyle15"/>
                <w:spacing w:val="9"/>
                <w:shd w:val="clear" w:color="auto" w:fill="000000"/>
              </w:rPr>
              <w:t>.</w:t>
            </w:r>
            <w:r>
              <w:rPr>
                <w:rStyle w:val="CharStyle15"/>
                <w:shd w:val="clear" w:color="auto" w:fill="000000"/>
              </w:rPr>
              <w:t>​</w:t>
            </w:r>
            <w:r>
              <w:rPr>
                <w:rStyle w:val="CharStyle15"/>
                <w:spacing w:val="2"/>
                <w:shd w:val="clear" w:color="auto" w:fill="000000"/>
              </w:rPr>
              <w:t>.</w:t>
            </w:r>
            <w:r>
              <w:rPr>
                <w:rStyle w:val="CharStyle15"/>
                <w:spacing w:val="3"/>
                <w:shd w:val="clear" w:color="auto" w:fill="000000"/>
              </w:rPr>
              <w:t>.............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00549142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CZ00549142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5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Městský soud v Praze, sp.zn. C 85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 xml:space="preserve">UniCredit Bank a.s. </w:t>
            </w:r>
            <w:r>
              <w:rPr>
                <w:rStyle w:val="CharStyle15"/>
                <w:spacing w:val="1"/>
                <w:shd w:val="clear" w:color="auto" w:fill="000000"/>
              </w:rPr>
              <w:t>.................</w:t>
            </w:r>
            <w:r>
              <w:rPr>
                <w:rStyle w:val="CharStyle15"/>
                <w:spacing w:val="2"/>
                <w:shd w:val="clear" w:color="auto" w:fill="000000"/>
              </w:rPr>
              <w:t>...........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  <w:i/>
          <w:iCs/>
        </w:rPr>
        <w:t>„prodávající)</w:t>
      </w:r>
    </w:p>
    <w:p>
      <w:pPr>
        <w:widowControl w:val="0"/>
        <w:spacing w:after="1039" w:line="1" w:lineRule="exact"/>
      </w:pP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0"/>
        <w:ind w:left="0" w:right="0" w:firstLine="0"/>
        <w:jc w:val="both"/>
      </w:pPr>
      <w:r>
        <w:rPr>
          <w:rStyle w:val="CharStyle6"/>
        </w:rPr>
        <w:t>Prodávající je oprávněn na základě svého vlastnického práva nakládat s tímto zbožím: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6"/>
          <w:b/>
          <w:bCs/>
        </w:rPr>
        <w:t>60 ks zádržných systémů do vozidel pro novorozence.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300" w:lineRule="auto"/>
        <w:ind w:left="420" w:right="0" w:firstLine="0"/>
        <w:jc w:val="both"/>
      </w:pPr>
      <w:r>
        <w:rPr>
          <w:rStyle w:val="CharStyle6"/>
        </w:rPr>
        <w:t>Bližší specifikace tohoto zboží a jeho jednotkové ceny jsou uvedeny v příloze č. 1, která je nedílnou součástí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86" w:lineRule="auto"/>
        <w:ind w:left="420" w:right="0" w:hanging="420"/>
        <w:jc w:val="both"/>
      </w:pPr>
      <w:r>
        <w:rPr>
          <w:rStyle w:val="CharStyle6"/>
        </w:rPr>
        <w:t>Prodávající prodává zboží podle čl. 1 této smlouvy se všemi jeho součástmi kupujícímu, a kupující kupuje toto zboží do svého vlastnictví za kupní cenu podle čl. 6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 w:line="286" w:lineRule="auto"/>
        <w:ind w:left="420" w:right="0" w:hanging="420"/>
        <w:jc w:val="both"/>
      </w:pPr>
      <w:r>
        <w:rPr>
          <w:rStyle w:val="CharStyle6"/>
        </w:rPr>
        <w:t xml:space="preserve">Prodávající se zavazuje splnit svůj závazek k dodání zboží podle čl. 1 této smlouvy nejpozději do </w:t>
      </w:r>
      <w:r>
        <w:rPr>
          <w:rStyle w:val="CharStyle6"/>
          <w:b/>
          <w:bCs/>
        </w:rPr>
        <w:t xml:space="preserve">30.11.2021, </w:t>
      </w:r>
      <w:r>
        <w:rPr>
          <w:rStyle w:val="CharStyle6"/>
        </w:rPr>
        <w:t>a to v místě plnění, čímž se rozumí sídlo kupujícího dle záhlaví k této smlouvě.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240"/>
        <w:ind w:left="420" w:right="0" w:hanging="420"/>
        <w:jc w:val="both"/>
      </w:pPr>
      <w:r>
        <w:rPr>
          <w:rStyle w:val="CharStyle6"/>
        </w:rPr>
        <w:t>Závazek prodávajícího k dodání zboží podle čl. 1 této smlouvy se pak považuje za splněný dnem předání a převzetí tohoto zboží, prostého všech vad, formou písemného předávacího protokolu, podepsaného oběma smluvními stranami.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1320" w:line="293" w:lineRule="auto"/>
        <w:ind w:left="420" w:right="0" w:hanging="420"/>
        <w:jc w:val="both"/>
      </w:pPr>
      <w:r>
        <w:rPr>
          <w:rStyle w:val="CharStyle6"/>
        </w:rPr>
        <w:t>Nebezpečí škody na převáděném zboží a vlastnické právo k tomuto zboží přechází z prodávajícího na kupujícího dnem splnění závazku prodávajícího k dodání tohoto zboží způsobem podle čl. 4 této smlouvy.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rStyle w:val="CharStyle6"/>
        </w:rPr>
        <w:t>VZ 40-21 Zádržný systém do vozidel pro novorozence II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40" w:line="295" w:lineRule="auto"/>
        <w:ind w:left="400" w:right="0" w:hanging="400"/>
        <w:jc w:val="both"/>
      </w:pPr>
      <w:r>
        <w:rPr>
          <w:rStyle w:val="CharStyle6"/>
        </w:rPr>
        <w:t>Kupující se zavazuje zaplatit prodávajícímu za předmět koupě a prodeje podle čl. 1 této smlouvy kupní cenu ve výši: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20" w:line="288" w:lineRule="auto"/>
        <w:ind w:left="0" w:right="0" w:firstLine="0"/>
        <w:jc w:val="center"/>
      </w:pPr>
      <w:r>
        <w:rPr>
          <w:rStyle w:val="CharStyle6"/>
          <w:b/>
          <w:bCs/>
        </w:rPr>
        <w:t xml:space="preserve">899 400,- Kč </w:t>
      </w:r>
      <w:r>
        <w:rPr>
          <w:rStyle w:val="CharStyle6"/>
        </w:rPr>
        <w:t xml:space="preserve">bez DPH, tzn. </w:t>
      </w:r>
      <w:r>
        <w:rPr>
          <w:rStyle w:val="CharStyle6"/>
          <w:b/>
          <w:bCs/>
        </w:rPr>
        <w:t xml:space="preserve">1 088 274,- Kč </w:t>
      </w:r>
      <w:r>
        <w:rPr>
          <w:rStyle w:val="CharStyle6"/>
        </w:rPr>
        <w:t>včetně DPH.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400" w:right="0" w:firstLine="0"/>
        <w:jc w:val="both"/>
      </w:pPr>
      <w:r>
        <w:rPr>
          <w:rStyle w:val="CharStyle6"/>
        </w:rPr>
        <w:t>Součástí této ceny jsou veškeré náklady prodávajícího na splnění jeho závazku k dodání zboží podle této smlouvy. Změna ceny je možná pouze v případě zákonné změny sazby DPH.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6"/>
        </w:rPr>
        <w:t xml:space="preserve">Kupní cena podle čl. 6 této smlouvy je splatná na účet prodávajícího po splnění závazku prodávajícího k dodání zboží podle čl. 1 této smlouvy způsobem podle čl. 4 této smlouvy ve lhůtě do 30 dnů ode dne doručení jejího písemného vyúčtování (daňového dokladu/faktury). Faktura bude doručena elektronicky na email: </w:t>
      </w:r>
      <w:r>
        <w:rPr>
          <w:rStyle w:val="CharStyle6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6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6"/>
          <w:shd w:val="clear" w:color="auto" w:fill="000000"/>
          <w:lang w:val="en-US" w:eastAsia="en-US" w:bidi="en-US"/>
        </w:rPr>
        <w:t>..</w:t>
      </w:r>
      <w:r>
        <w:rPr>
          <w:rStyle w:val="CharStyle6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6"/>
          <w:spacing w:val="1"/>
          <w:u w:val="single"/>
          <w:shd w:val="clear" w:color="auto" w:fill="000000"/>
          <w:lang w:val="en-US" w:eastAsia="en-US" w:bidi="en-US"/>
        </w:rPr>
        <w:t>.........................</w:t>
      </w:r>
      <w:r>
        <w:rPr>
          <w:rStyle w:val="CharStyle6"/>
          <w:spacing w:val="2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6"/>
          <w:lang w:val="en-US" w:eastAsia="en-US" w:bidi="en-US"/>
        </w:rPr>
        <w:t xml:space="preserve"> </w:t>
      </w:r>
      <w:r>
        <w:rPr>
          <w:rStyle w:val="CharStyle6"/>
        </w:rPr>
        <w:t xml:space="preserve">a musí obsahovat mimo jiné toto číslo veřejné zakázky: </w:t>
      </w:r>
      <w:r>
        <w:rPr>
          <w:rStyle w:val="CharStyle6"/>
          <w:b/>
          <w:bCs/>
        </w:rPr>
        <w:t xml:space="preserve">P21V00002297. </w:t>
      </w:r>
      <w:r>
        <w:rPr>
          <w:rStyle w:val="CharStyle6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6"/>
        </w:rPr>
        <w:t>S převodem zboží podle čl. 1 této smlouvy je spojena záruka za jeho jakost v trvání 24 měsíců. V rámci této záruky se prodávající zavazuje bezplatně odstraňovat vady na zboží podle čl. 1 této smlouvy, a to ve lhůtě do 1 týdne od doručení příslušné reklamace písemné kupujícího. Písemná forma reklamace se považuje za dodrženou i v případě jejího odeslání elektronickou formou. Vzhledem k povaze zboží podle čl. 1 této smlouvy lze provést odstranění vady jen výměnou vadného kusu zboží za nový bezvadný.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6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6"/>
        </w:rPr>
        <w:t>Pro případ prodlení se splněním jeho závazku k dodání zboží ve lhůtě podle čl. 3 této smlouvy a pro případ jeho prodlení s odstraněním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8" w:lineRule="auto"/>
        <w:ind w:left="400" w:right="0" w:hanging="400"/>
        <w:jc w:val="both"/>
      </w:pPr>
      <w:r>
        <w:rPr>
          <w:rStyle w:val="CharStyle6"/>
        </w:rPr>
        <w:t>Pro případ prodlení se splněním jeho závazku k dodání zboží ve lhůtě podle čl. 3 této smlouvy nebo s odstraněním vady ve lhůtě podle čl. 8 této smlouvy o více, než 2 týdny, je kupující oprávněn odstoupit od této smlouvy s účinky ex tunc.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 případ prodlení kupujícího se zaplacením kupní ceny nebo její části ve lhůtě podle čl. 6 této smlouvy o víc než 2 týdny, je prodávající oprávněn od této smlouvy odstoupit s účinky ex tunc.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00" w:right="0" w:hanging="400"/>
        <w:jc w:val="both"/>
      </w:pPr>
      <w:r>
        <w:rPr>
          <w:rStyle w:val="CharStyle6"/>
        </w:rPr>
        <w:t>Prodávající se zavazuje zapojit do realizace této veřejné zakázky výhradně osoby zaměstnané legálně v souladu s tuzemskou právní úpravou.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6"/>
        </w:rPr>
        <w:t>Prodávající se zavazuje vytvářet pro osoby zapojené do realizace této veřejné zakázky důstojné pracovní podmínky, zejména důsledně dodržovat svoje povinnosti v oblasti ochrany bezpečnosti a zdraví při práci.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6"/>
        </w:rPr>
        <w:t>Prodávající se zavazuje dodržovat při realizaci této veřejné zakázky zásady ekologické likvidace odpadů.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5" w:lineRule="auto"/>
        <w:ind w:left="400" w:right="0" w:hanging="400"/>
        <w:jc w:val="both"/>
      </w:pPr>
      <w:r>
        <w:rPr>
          <w:rStyle w:val="CharStyle6"/>
        </w:rPr>
        <w:t>Není-li touto smlouvou ujednáno jinak, řídí se vzájemný právní vztah mezi kupujícím a prodávajícím při realizaci této smlouvy ust. § 2079 a násl. občanského zákoníku.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86" w:lineRule="auto"/>
        <w:ind w:left="400" w:right="0" w:hanging="400"/>
        <w:jc w:val="both"/>
      </w:pPr>
      <w:r>
        <w:rPr>
          <w:rStyle w:val="CharStyle6"/>
        </w:rPr>
        <w:t>Tato smlouva se uzavírá na základě návrhu na její uzavření ze strany kupujícího. Předpokladem uzavření této smlouvy je její písemná forma a dohoda o jejích podstatných náležitostech, čímž se</w:t>
        <w:br w:type="page"/>
      </w:r>
      <w:r>
        <w:rPr>
          <w:rStyle w:val="CharStyle6"/>
        </w:rPr>
        <w:t>rozumí celý obsah této smlouvy, jak je uveden včl. 1 až 21 této smlouvy. Kupující přitom předem vylučuje přijetí tohoto návrhu s dodatkem nebo odchylkou ve smyslu ustanovení § 1740 odst. 3 občanského zákoníku.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6"/>
        </w:rPr>
        <w:t>Prodávající bere na vědomí a souhlasí s tím, aby kupující uveřejnil tuto smlouvu v registru smluv v souladu s ustanoveními zákona č. 340/2015 Sb., o registru smluv, ve znění pozdějších předpisů.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line="295" w:lineRule="auto"/>
        <w:ind w:left="0" w:right="0" w:firstLine="0"/>
        <w:jc w:val="both"/>
      </w:pPr>
      <w:r>
        <w:rPr>
          <w:rStyle w:val="CharStyle6"/>
        </w:rPr>
        <w:t>Tuto smlouvu lze změnit nebo zrušit pouze jinou písemnou dohodou obou smluvních stran.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/>
        <w:ind w:left="420" w:right="0" w:hanging="420"/>
        <w:jc w:val="both"/>
      </w:pPr>
      <w:r>
        <w:rPr>
          <w:rStyle w:val="CharStyle6"/>
        </w:rPr>
        <w:t>Tato smlouva nabývá platnosti dnem jejího uzavření a účinnosti dnem jejího uveřejnění v registru smluv dle čl. 18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0" w:line="300" w:lineRule="auto"/>
        <w:ind w:left="420" w:right="0" w:hanging="420"/>
        <w:jc w:val="both"/>
      </w:pPr>
      <w:r>
        <w:rPr>
          <w:rStyle w:val="CharStyle6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534" w:right="1295" w:bottom="1058" w:left="1529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93700" distB="3175" distL="0" distR="0" simplePos="0" relativeHeight="125829380" behindDoc="0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393700</wp:posOffset>
                </wp:positionV>
                <wp:extent cx="1715770" cy="1797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157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2347" w:val="left"/>
                                <w:tab w:leader="dot" w:pos="2410" w:val="left"/>
                                <w:tab w:leader="dot" w:pos="248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V Brně dne</w:t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450000000000003pt;margin-top:31.pt;width:135.09999999999999pt;height:14.15pt;z-index:-125829373;mso-wrap-distance-left:0;mso-wrap-distance-top:31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347" w:val="left"/>
                          <w:tab w:leader="dot" w:pos="2410" w:val="left"/>
                          <w:tab w:leader="dot" w:pos="248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Brně dne</w:t>
                        <w:tab/>
                        <w:tab/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7830" distB="0" distL="0" distR="0" simplePos="0" relativeHeight="125829382" behindDoc="0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417830</wp:posOffset>
                </wp:positionV>
                <wp:extent cx="1804670" cy="15875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46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6"/>
                              </w:rPr>
                              <w:t>V Masojedech dne 10.11.2021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8.94999999999999pt;margin-top:32.899999999999999pt;width:142.09999999999999pt;height:12.5pt;z-index:-125829371;mso-wrap-distance-left:0;mso-wrap-distance-top:32.8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 Masojedech dne 10.11.2021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50" w:right="0" w:bottom="123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1001395</wp:posOffset>
            </wp:positionH>
            <wp:positionV relativeFrom="paragraph">
              <wp:posOffset>12700</wp:posOffset>
            </wp:positionV>
            <wp:extent cx="2249170" cy="66421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249170" cy="664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652145" distL="114300" distR="961390" simplePos="0" relativeHeight="125829385" behindDoc="0" locked="0" layoutInCell="1" allowOverlap="1">
            <wp:simplePos x="0" y="0"/>
            <wp:positionH relativeFrom="page">
              <wp:posOffset>4152900</wp:posOffset>
            </wp:positionH>
            <wp:positionV relativeFrom="paragraph">
              <wp:posOffset>125095</wp:posOffset>
            </wp:positionV>
            <wp:extent cx="1969135" cy="841375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69135" cy="8413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978535</wp:posOffset>
                </wp:positionV>
                <wp:extent cx="2782570" cy="64008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8257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2560" w:right="0" w:hanging="2560"/>
                              <w:jc w:val="left"/>
                            </w:pPr>
                            <w:r>
                              <w:rPr>
                                <w:rStyle w:val="CharStyle39"/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 xml:space="preserve">Prodávající </w:t>
                            </w:r>
                            <w:r>
                              <w:rPr>
                                <w:rStyle w:val="CharStyle39"/>
                                <w:b/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r&lt;)gres servis sibkina </w:t>
                            </w:r>
                            <w:r>
                              <w:rPr>
                                <w:rStyle w:val="CharStyle39"/>
                              </w:rPr>
                              <w:t>spol. s r.o.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9"/>
                              </w:rPr>
                              <w:t>Masojedy 59, 282 01 Český Brod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9"/>
                              </w:rPr>
                              <w:t>IČO 00549142, DIČ 0200549142</w:t>
                            </w:r>
                          </w:p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9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40000000000003pt;margin-top:77.049999999999997pt;width:219.09999999999999pt;height:50.3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2560" w:right="0" w:hanging="2560"/>
                        <w:jc w:val="left"/>
                      </w:pPr>
                      <w:r>
                        <w:rPr>
                          <w:rStyle w:val="CharStyle39"/>
                          <w:b/>
                          <w:bCs/>
                          <w:color w:val="000000"/>
                          <w:sz w:val="19"/>
                          <w:szCs w:val="19"/>
                        </w:rPr>
                        <w:t xml:space="preserve">Prodávající </w:t>
                      </w:r>
                      <w:r>
                        <w:rPr>
                          <w:rStyle w:val="CharStyle39"/>
                          <w:b/>
                          <w:bCs/>
                          <w:smallCaps/>
                          <w:sz w:val="19"/>
                          <w:szCs w:val="19"/>
                        </w:rPr>
                        <w:t xml:space="preserve">r&lt;)gres servis sibkina </w:t>
                      </w:r>
                      <w:r>
                        <w:rPr>
                          <w:rStyle w:val="CharStyle39"/>
                        </w:rPr>
                        <w:t>spol. s r.o.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9"/>
                        </w:rPr>
                        <w:t>Masojedy 59, 282 01 Český Brod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9"/>
                        </w:rPr>
                        <w:t>IČO 00549142, DIČ 0200549142</w:t>
                      </w:r>
                    </w:p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9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6"/>
        </w:rPr>
        <w:t>MUDr. Hana Albrechtová ředitelka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6"/>
          <w:b/>
          <w:bCs/>
        </w:rPr>
        <w:t xml:space="preserve">Kupující </w:t>
      </w:r>
      <w:r>
        <w:rPr>
          <w:rStyle w:val="CharStyle6"/>
          <w:color w:val="82B3DF"/>
          <w:sz w:val="20"/>
          <w:szCs w:val="20"/>
        </w:rPr>
        <w:t>Zdravotnická záchranná služba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left"/>
      </w:pPr>
      <w:r>
        <w:rPr>
          <w:rStyle w:val="CharStyle3"/>
        </w:rPr>
        <w:t>Jihomoravského kraje, p.o.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rStyle w:val="CharStyle3"/>
        </w:rPr>
        <w:t>Kamenice 798/1 d, 625 00 Brno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1980" w:right="0" w:firstLine="0"/>
        <w:jc w:val="left"/>
      </w:pPr>
      <w:r>
        <w:rPr>
          <w:rStyle w:val="CharStyle3"/>
        </w:rPr>
        <w:t>21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400"/>
        <w:ind w:left="0" w:right="0" w:firstLine="0"/>
        <w:jc w:val="left"/>
      </w:pPr>
      <w:r>
        <w:rPr>
          <w:rStyle w:val="CharStyle6"/>
          <w:b/>
          <w:bCs/>
        </w:rPr>
        <w:t>Příloha č. 1 Specifikace, ceník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Style w:val="CharStyle6"/>
        </w:rPr>
        <w:t>VZ 40-21 Zádržný systém do vozidel pro novorozence II</w:t>
      </w:r>
      <w:r>
        <w:br w:type="page"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Style w:val="CharStyle6"/>
          <w:i/>
          <w:iCs/>
        </w:rPr>
        <w:t>Příloha č. 1 Specifikace, ceník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58" w:right="0" w:firstLine="0"/>
        <w:jc w:val="left"/>
        <w:rPr>
          <w:sz w:val="22"/>
          <w:szCs w:val="22"/>
        </w:rPr>
      </w:pPr>
      <w:r>
        <w:rPr>
          <w:rStyle w:val="CharStyle12"/>
          <w:b/>
          <w:bCs/>
          <w:sz w:val="22"/>
          <w:szCs w:val="22"/>
        </w:rPr>
        <w:t>SPECIFIKACE</w:t>
      </w:r>
    </w:p>
    <w:tbl>
      <w:tblPr>
        <w:tblOverlap w:val="never"/>
        <w:jc w:val="center"/>
        <w:tblLayout w:type="fixed"/>
      </w:tblPr>
      <w:tblGrid>
        <w:gridCol w:w="4963"/>
        <w:gridCol w:w="4042"/>
      </w:tblGrid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Kangoofix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FERNO AB GERMA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Počet kusů: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60</w:t>
            </w:r>
          </w:p>
        </w:tc>
      </w:tr>
    </w:tbl>
    <w:p>
      <w:pPr>
        <w:widowControl w:val="0"/>
        <w:spacing w:after="2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576"/>
        <w:gridCol w:w="4622"/>
        <w:gridCol w:w="4051"/>
      </w:tblGrid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</w:pPr>
            <w:r>
              <w:rPr>
                <w:rStyle w:val="CharStyle15"/>
                <w:b/>
                <w:bCs/>
              </w:rPr>
              <w:t>Požadovaný parametr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Nabízený parametr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940" w:right="0" w:hanging="940"/>
              <w:jc w:val="left"/>
            </w:pPr>
            <w:r>
              <w:rPr>
                <w:rStyle w:val="CharStyle15"/>
              </w:rPr>
              <w:t>Materiál: Polyester, kov a plast („Breath-o-prene“ Oeko-Tex 100)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</w:pPr>
            <w:r>
              <w:rPr>
                <w:rStyle w:val="CharStyle15"/>
              </w:rPr>
              <w:t>Polyester, kov a plast „Breath-o-prene" Oeko-Tex 100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Norma/Certifikace: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EN 1789, TSFS 2010: 2 (10 a 20G)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EN1789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Délka (min.): 25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25 cm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Délka (max.): 110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110 cm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Šířka (min.): 13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13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Šířka (max.): 93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93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Výška (min.): 0,4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4 cm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Výška (max.): 2,4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2,4 cm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3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Váha:</w:t>
              <w:tab/>
              <w:t>1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 kg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Hmotnost (min.): 1,6 kg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1,6 kg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Hmotnost (max.): 5 kg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5 kg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Style w:val="CharStyle6"/>
          <w:b/>
          <w:bCs/>
        </w:rPr>
        <w:t>Základní požadavky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2" w:val="left"/>
        </w:tabs>
        <w:bidi w:val="0"/>
        <w:spacing w:before="0" w:after="0" w:line="406" w:lineRule="auto"/>
        <w:ind w:left="0" w:right="0" w:firstLine="200"/>
        <w:jc w:val="left"/>
      </w:pPr>
      <w:r>
        <w:rPr>
          <w:rStyle w:val="CharStyle6"/>
        </w:rPr>
        <w:t>bezpečně připevňuje novorozence k matce a neustále udržuje těsný kontakt,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2" w:val="left"/>
        </w:tabs>
        <w:bidi w:val="0"/>
        <w:spacing w:before="0" w:after="0" w:line="406" w:lineRule="auto"/>
        <w:ind w:left="0" w:right="0" w:firstLine="200"/>
        <w:jc w:val="left"/>
      </w:pPr>
      <w:r>
        <w:rPr>
          <w:rStyle w:val="CharStyle6"/>
        </w:rPr>
        <w:t>5-bodový vnější postroj se připevňuje k postroji záchranných nosítek,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2" w:val="left"/>
        </w:tabs>
        <w:bidi w:val="0"/>
        <w:spacing w:before="0" w:after="0" w:line="406" w:lineRule="auto"/>
        <w:ind w:left="0" w:right="0" w:firstLine="200"/>
        <w:jc w:val="left"/>
      </w:pPr>
      <w:r>
        <w:rPr>
          <w:rStyle w:val="CharStyle6"/>
        </w:rPr>
        <w:t>systém rychlého uvolnění umožňuje rychlý přístup pro profesionály,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2" w:val="left"/>
        </w:tabs>
        <w:bidi w:val="0"/>
        <w:spacing w:before="0" w:after="0" w:line="406" w:lineRule="auto"/>
        <w:ind w:left="0" w:right="0" w:firstLine="200"/>
        <w:jc w:val="left"/>
      </w:pPr>
      <w:r>
        <w:rPr>
          <w:rStyle w:val="CharStyle6"/>
        </w:rPr>
        <w:t>režim „Lícem nahoru“ umožňuje profesionálům rychle sledovat novorozence,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2" w:val="left"/>
        </w:tabs>
        <w:bidi w:val="0"/>
        <w:spacing w:before="0" w:after="0" w:line="406" w:lineRule="auto"/>
        <w:ind w:left="0" w:right="0" w:firstLine="200"/>
        <w:jc w:val="left"/>
      </w:pPr>
      <w:r>
        <w:rPr>
          <w:rStyle w:val="CharStyle6"/>
        </w:rPr>
        <w:t>vnitřní postroj a zahřívací kryt jsou všité, aby umožňovaly bezpečné uchycení,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7" w:val="left"/>
        </w:tabs>
        <w:bidi w:val="0"/>
        <w:spacing w:before="0" w:after="0" w:line="406" w:lineRule="auto"/>
        <w:ind w:left="0" w:right="0" w:firstLine="200"/>
        <w:jc w:val="left"/>
      </w:pPr>
      <w:r>
        <w:rPr>
          <w:rStyle w:val="CharStyle6"/>
        </w:rPr>
        <w:t>vnitřní postroj a hřejivý potah zajišťují prodyšnost a pohodlí,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7" w:val="left"/>
        </w:tabs>
        <w:bidi w:val="0"/>
        <w:spacing w:before="0" w:after="0" w:line="406" w:lineRule="auto"/>
        <w:ind w:left="0" w:right="0" w:firstLine="200"/>
        <w:jc w:val="left"/>
      </w:pPr>
      <w:r>
        <w:rPr>
          <w:rStyle w:val="CharStyle6"/>
        </w:rPr>
        <w:t>kokonový design a integrovaný kryt lebky udrží dítě v teple a bezpečí,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6" w:val="left"/>
        </w:tabs>
        <w:bidi w:val="0"/>
        <w:spacing w:before="0" w:after="0" w:line="406" w:lineRule="auto"/>
        <w:ind w:left="200" w:right="0" w:firstLine="0"/>
        <w:jc w:val="left"/>
      </w:pPr>
      <w:r>
        <w:rPr>
          <w:rStyle w:val="CharStyle6"/>
        </w:rPr>
        <w:t>materiál klinicky testován, aby byla zaručena žádná negativní reakce na citlivou dětskou pokožku, • lehký a snadno skladovatelný,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7" w:val="left"/>
        </w:tabs>
        <w:bidi w:val="0"/>
        <w:spacing w:before="0" w:after="180" w:line="406" w:lineRule="auto"/>
        <w:ind w:left="0" w:right="0" w:firstLine="200"/>
        <w:jc w:val="left"/>
      </w:pPr>
      <w:r>
        <w:rPr>
          <w:rStyle w:val="CharStyle6"/>
        </w:rPr>
        <w:t>snadné čištění.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81" w:right="0" w:firstLine="0"/>
        <w:jc w:val="left"/>
        <w:rPr>
          <w:sz w:val="22"/>
          <w:szCs w:val="22"/>
        </w:rPr>
      </w:pPr>
      <w:r>
        <w:rPr>
          <w:rStyle w:val="CharStyle12"/>
          <w:b/>
          <w:bCs/>
          <w:sz w:val="22"/>
          <w:szCs w:val="22"/>
        </w:rPr>
        <w:t>CENÍK</w:t>
      </w:r>
    </w:p>
    <w:tbl>
      <w:tblPr>
        <w:tblOverlap w:val="never"/>
        <w:jc w:val="center"/>
        <w:tblLayout w:type="fixed"/>
      </w:tblPr>
      <w:tblGrid>
        <w:gridCol w:w="3110"/>
        <w:gridCol w:w="1066"/>
        <w:gridCol w:w="1632"/>
        <w:gridCol w:w="1627"/>
        <w:gridCol w:w="1632"/>
      </w:tblGrid>
      <w:tr>
        <w:trPr>
          <w:trHeight w:val="7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Označení dodávky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Jednotková cena v Kč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Cena celkem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5"/>
                <w:b/>
                <w:bCs/>
              </w:rPr>
              <w:t>Cena celkem v Kč vč. DPH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</w:rPr>
              <w:t>KangooFix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60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14 990,-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899 400,-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1 088 274,-</w:t>
            </w:r>
          </w:p>
        </w:tc>
      </w:tr>
      <w:tr>
        <w:trPr>
          <w:trHeight w:val="518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5"/>
                <w:b/>
                <w:bCs/>
              </w:rPr>
              <w:t>Cena celkem k úhradě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899 400,-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5"/>
              </w:rPr>
              <w:t>1 088 274,-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550" w:right="1188" w:bottom="1239" w:left="146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10085070</wp:posOffset>
              </wp:positionV>
              <wp:extent cx="3124200" cy="4387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124200" cy="438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rStyle w:val="CharStyle31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#</w:t>
                            </w:r>
                          </w:fldSimple>
                        </w:p>
                        <w:p>
                          <w:pPr>
                            <w:pStyle w:val="Style3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31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VZ 40-21 Zádržný systém do vozidel pro novorozence 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6.799999999999997pt;margin-top:794.10000000000002pt;width:246.pt;height:34.55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31"/>
                          <w:rFonts w:ascii="Arial" w:eastAsia="Arial" w:hAnsi="Arial" w:cs="Arial"/>
                          <w:sz w:val="22"/>
                          <w:szCs w:val="22"/>
                        </w:rPr>
                        <w:t>#</w:t>
                      </w:r>
                    </w:fldSimple>
                  </w:p>
                  <w:p>
                    <w:pPr>
                      <w:pStyle w:val="Style3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1"/>
                        <w:rFonts w:ascii="Arial" w:eastAsia="Arial" w:hAnsi="Arial" w:cs="Arial"/>
                        <w:sz w:val="19"/>
                        <w:szCs w:val="19"/>
                      </w:rPr>
                      <w:t>VZ 40-21 Zádržný systém do vozidel pro novorozence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2B3DF"/>
      <w:sz w:val="17"/>
      <w:szCs w:val="17"/>
      <w:u w:val="none"/>
    </w:rPr>
  </w:style>
  <w:style w:type="character" w:customStyle="1" w:styleId="CharStyle6">
    <w:name w:val="Základní text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10">
    <w:name w:val="Nadpis #2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Titulek tabulky_"/>
    <w:basedOn w:val="DefaultParagraphFont"/>
    <w:link w:val="Style11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1">
    <w:name w:val="Záhlaví nebo zápatí (2)_"/>
    <w:basedOn w:val="DefaultParagraphFont"/>
    <w:link w:val="Styl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9">
    <w:name w:val="Titulek obrázku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color w:val="82B3DF"/>
      <w:sz w:val="17"/>
      <w:szCs w:val="17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ind w:firstLine="4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2B3DF"/>
      <w:sz w:val="17"/>
      <w:szCs w:val="17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auto"/>
      <w:spacing w:after="2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2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9">
    <w:name w:val="Nadpis #2"/>
    <w:basedOn w:val="Normal"/>
    <w:link w:val="CharStyle10"/>
    <w:pPr>
      <w:widowControl w:val="0"/>
      <w:shd w:val="clear" w:color="auto" w:fill="auto"/>
      <w:spacing w:after="240" w:line="307" w:lineRule="auto"/>
      <w:jc w:val="center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Titulek tabulky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auto"/>
      <w:spacing w:after="2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0">
    <w:name w:val="Záhlaví nebo zápatí (2)"/>
    <w:basedOn w:val="Normal"/>
    <w:link w:val="CharStyle3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8">
    <w:name w:val="Titulek obrázku"/>
    <w:basedOn w:val="Normal"/>
    <w:link w:val="CharStyle39"/>
    <w:pPr>
      <w:widowControl w:val="0"/>
      <w:shd w:val="clear" w:color="auto" w:fill="auto"/>
      <w:spacing w:line="226" w:lineRule="auto"/>
      <w:ind w:left="128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2B3DF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